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3CFD1">
      <w:pPr>
        <w:spacing w:line="0" w:lineRule="atLeast"/>
        <w:jc w:val="center"/>
        <w:outlineLvl w:val="0"/>
        <w:rPr>
          <w:rFonts w:ascii="黑体" w:hAnsi="宋体" w:eastAsia="黑体"/>
          <w:bCs/>
          <w:sz w:val="32"/>
          <w:szCs w:val="32"/>
        </w:rPr>
      </w:pPr>
      <w:bookmarkStart w:id="0" w:name="_Toc353262371"/>
      <w:r>
        <w:rPr>
          <w:rFonts w:hint="eastAsia" w:ascii="黑体" w:hAnsi="宋体" w:eastAsia="黑体"/>
          <w:bCs/>
          <w:sz w:val="32"/>
          <w:szCs w:val="32"/>
        </w:rPr>
        <w:t>第四章  需求及技术规格</w:t>
      </w:r>
      <w:bookmarkEnd w:id="0"/>
    </w:p>
    <w:p w14:paraId="7964A8D9">
      <w:pPr>
        <w:spacing w:line="340" w:lineRule="exact"/>
        <w:ind w:left="-71" w:firstLine="447" w:firstLineChars="212"/>
        <w:rPr>
          <w:rFonts w:ascii="宋体" w:hAnsi="宋体"/>
          <w:b/>
          <w:bCs/>
          <w:szCs w:val="21"/>
        </w:rPr>
      </w:pPr>
    </w:p>
    <w:p w14:paraId="74F8CA8A">
      <w:pPr>
        <w:jc w:val="center"/>
        <w:outlineLvl w:val="1"/>
        <w:rPr>
          <w:rFonts w:ascii="黑体" w:hAnsi="宋体" w:eastAsia="黑体"/>
          <w:bCs/>
          <w:sz w:val="24"/>
          <w:szCs w:val="24"/>
        </w:rPr>
      </w:pPr>
      <w:bookmarkStart w:id="1" w:name="_Toc353262372"/>
      <w:r>
        <w:rPr>
          <w:rFonts w:hint="eastAsia" w:ascii="黑体" w:hAnsi="宋体" w:eastAsia="黑体"/>
          <w:bCs/>
          <w:sz w:val="24"/>
          <w:szCs w:val="24"/>
        </w:rPr>
        <w:t>第一节  说明</w:t>
      </w:r>
      <w:bookmarkEnd w:id="1"/>
    </w:p>
    <w:p w14:paraId="6A6D28A4">
      <w:pPr>
        <w:spacing w:line="360" w:lineRule="exact"/>
        <w:ind w:firstLine="420" w:firstLineChars="200"/>
        <w:rPr>
          <w:rFonts w:ascii="宋体" w:hAnsi="宋体"/>
          <w:bCs/>
          <w:szCs w:val="21"/>
        </w:rPr>
      </w:pPr>
      <w:r>
        <w:rPr>
          <w:rFonts w:hint="eastAsia" w:ascii="宋体" w:hAnsi="宋体"/>
          <w:szCs w:val="21"/>
        </w:rPr>
        <w:t>1、投标人必须对本招标文件所列的所有采购内容进行投标，不得将项目中的内容拆开投标，如果项目有分包的，投标人也可以只对其中一个或几个分包进行投标，但不得将一个包中的内容拆开投标，否则将导致其投标被拒绝。投标人须认真填写第五章的偏离表，偏离表将作为重要的评标依据。</w:t>
      </w:r>
    </w:p>
    <w:p w14:paraId="7E61C5BC">
      <w:pPr>
        <w:spacing w:line="360" w:lineRule="exact"/>
        <w:ind w:firstLine="413" w:firstLineChars="196"/>
        <w:rPr>
          <w:rFonts w:ascii="宋体" w:hAnsi="宋体"/>
          <w:b/>
        </w:rPr>
      </w:pPr>
      <w:r>
        <w:rPr>
          <w:rFonts w:hint="eastAsia" w:ascii="宋体" w:hAnsi="宋体"/>
          <w:b/>
        </w:rPr>
        <w:t>重点说明：偏离表中“偏离度”由投标人自行判断后填写，内容仅供评委参考，</w:t>
      </w:r>
      <w:r>
        <w:rPr>
          <w:rFonts w:ascii="宋体" w:hAnsi="宋体"/>
          <w:b/>
        </w:rPr>
        <w:t>评标委员会将根据</w:t>
      </w:r>
      <w:r>
        <w:rPr>
          <w:rFonts w:hint="eastAsia" w:ascii="宋体" w:hAnsi="宋体"/>
          <w:b/>
        </w:rPr>
        <w:t>具体响应内容</w:t>
      </w:r>
      <w:r>
        <w:rPr>
          <w:rFonts w:ascii="宋体" w:hAnsi="宋体"/>
          <w:b/>
        </w:rPr>
        <w:t>给予是否偏离的认定，并以此</w:t>
      </w:r>
      <w:r>
        <w:rPr>
          <w:rFonts w:hint="eastAsia" w:ascii="宋体" w:hAnsi="宋体"/>
          <w:b/>
        </w:rPr>
        <w:t>作为</w:t>
      </w:r>
      <w:r>
        <w:rPr>
          <w:rFonts w:ascii="宋体" w:hAnsi="宋体"/>
          <w:b/>
        </w:rPr>
        <w:t>最终评判</w:t>
      </w:r>
      <w:r>
        <w:rPr>
          <w:rFonts w:hint="eastAsia" w:ascii="宋体" w:hAnsi="宋体"/>
          <w:b/>
          <w:szCs w:val="22"/>
        </w:rPr>
        <w:t>。</w:t>
      </w:r>
      <w:r>
        <w:rPr>
          <w:rFonts w:hint="eastAsia" w:ascii="宋体" w:hAnsi="宋体"/>
          <w:b/>
        </w:rPr>
        <w:t>需求中要求提供证书、检测报告、承诺函或其他证明文件的，如投标人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14:paraId="68225100">
      <w:pPr>
        <w:spacing w:line="36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本招标文件要求中，凡标有</w:t>
      </w:r>
      <w:r>
        <w:rPr>
          <w:rFonts w:hint="eastAsia" w:ascii="宋体" w:hAnsi="宋体"/>
          <w:b/>
          <w:bCs/>
          <w:szCs w:val="21"/>
        </w:rPr>
        <w:t>“★”</w:t>
      </w:r>
      <w:r>
        <w:rPr>
          <w:rFonts w:ascii="宋体" w:hAnsi="宋体"/>
          <w:b/>
          <w:bCs/>
          <w:szCs w:val="21"/>
        </w:rPr>
        <w:t>的地方均被视为</w:t>
      </w:r>
      <w:r>
        <w:rPr>
          <w:rFonts w:hint="eastAsia" w:ascii="宋体" w:hAnsi="宋体"/>
          <w:b/>
          <w:bCs/>
          <w:szCs w:val="21"/>
        </w:rPr>
        <w:t>不可偏离条款，</w:t>
      </w:r>
      <w:r>
        <w:rPr>
          <w:rFonts w:ascii="宋体" w:hAnsi="宋体"/>
          <w:b/>
          <w:bCs/>
          <w:szCs w:val="21"/>
        </w:rPr>
        <w:t>投标人要特别加以注意</w:t>
      </w:r>
      <w:r>
        <w:rPr>
          <w:rFonts w:hint="eastAsia" w:ascii="宋体" w:hAnsi="宋体"/>
          <w:b/>
          <w:bCs/>
          <w:szCs w:val="21"/>
        </w:rPr>
        <w:t>并予以响应，</w:t>
      </w:r>
      <w:r>
        <w:rPr>
          <w:rFonts w:ascii="宋体" w:hAnsi="宋体"/>
          <w:b/>
          <w:bCs/>
          <w:szCs w:val="21"/>
        </w:rPr>
        <w:t>否则，若有一项带</w:t>
      </w:r>
      <w:r>
        <w:rPr>
          <w:rFonts w:hint="eastAsia" w:ascii="宋体" w:hAnsi="宋体"/>
          <w:b/>
          <w:bCs/>
          <w:szCs w:val="21"/>
        </w:rPr>
        <w:t>“★”</w:t>
      </w:r>
      <w:r>
        <w:rPr>
          <w:rFonts w:ascii="宋体" w:hAnsi="宋体"/>
          <w:b/>
          <w:bCs/>
          <w:szCs w:val="21"/>
        </w:rPr>
        <w:t>的</w:t>
      </w:r>
      <w:r>
        <w:rPr>
          <w:rFonts w:hint="eastAsia" w:ascii="宋体" w:hAnsi="宋体"/>
          <w:b/>
          <w:bCs/>
          <w:szCs w:val="21"/>
        </w:rPr>
        <w:t>要求</w:t>
      </w:r>
      <w:r>
        <w:rPr>
          <w:rFonts w:ascii="宋体" w:hAnsi="宋体"/>
          <w:b/>
          <w:bCs/>
          <w:szCs w:val="21"/>
        </w:rPr>
        <w:t>未响应或不满足，将按投标无效处理</w:t>
      </w:r>
      <w:r>
        <w:rPr>
          <w:rFonts w:hint="eastAsia" w:ascii="宋体" w:hAnsi="宋体"/>
          <w:b/>
          <w:bCs/>
          <w:szCs w:val="21"/>
        </w:rPr>
        <w:t>；</w:t>
      </w:r>
      <w:r>
        <w:rPr>
          <w:rFonts w:ascii="宋体" w:hAnsi="宋体"/>
          <w:b/>
          <w:bCs/>
          <w:szCs w:val="21"/>
        </w:rPr>
        <w:t>凡标有</w:t>
      </w:r>
      <w:r>
        <w:rPr>
          <w:rFonts w:hint="eastAsia" w:ascii="宋体" w:hAnsi="宋体"/>
          <w:b/>
          <w:bCs/>
          <w:szCs w:val="21"/>
        </w:rPr>
        <w:t xml:space="preserve"> “▲”</w:t>
      </w:r>
      <w:r>
        <w:rPr>
          <w:rFonts w:ascii="宋体" w:hAnsi="宋体"/>
          <w:b/>
          <w:bCs/>
          <w:szCs w:val="21"/>
        </w:rPr>
        <w:t>的地方均被视为重要要求</w:t>
      </w:r>
      <w:r>
        <w:rPr>
          <w:rFonts w:hint="eastAsia" w:ascii="宋体" w:hAnsi="宋体"/>
          <w:b/>
          <w:bCs/>
          <w:szCs w:val="21"/>
        </w:rPr>
        <w:t>，若有带“▲”的要求未响应或不满足的，将按加重扣分处理</w:t>
      </w:r>
      <w:r>
        <w:rPr>
          <w:rFonts w:ascii="宋体" w:hAnsi="宋体"/>
          <w:b/>
          <w:bCs/>
          <w:szCs w:val="21"/>
        </w:rPr>
        <w:t>。</w:t>
      </w:r>
    </w:p>
    <w:p w14:paraId="782B3F46">
      <w:pPr>
        <w:spacing w:line="360" w:lineRule="exact"/>
        <w:ind w:firstLine="422" w:firstLineChars="200"/>
        <w:rPr>
          <w:rFonts w:ascii="宋体" w:hAnsi="宋体"/>
          <w:b/>
          <w:szCs w:val="21"/>
        </w:rPr>
      </w:pPr>
      <w:r>
        <w:rPr>
          <w:rFonts w:hint="eastAsia" w:ascii="宋体" w:hAnsi="宋体"/>
          <w:b/>
          <w:szCs w:val="21"/>
        </w:rPr>
        <w:t>3、相同品牌产品投标的说明：</w:t>
      </w:r>
    </w:p>
    <w:p w14:paraId="72A9BE9A">
      <w:pPr>
        <w:spacing w:line="360" w:lineRule="exact"/>
        <w:ind w:firstLine="420" w:firstLineChars="200"/>
        <w:rPr>
          <w:rFonts w:ascii="宋体" w:hAnsi="宋体"/>
          <w:szCs w:val="21"/>
        </w:rPr>
      </w:pPr>
      <w:r>
        <w:rPr>
          <w:rFonts w:hint="eastAsia" w:ascii="宋体" w:hAnsi="宋体"/>
          <w:szCs w:val="21"/>
        </w:rPr>
        <w:t>采用最低价法评标的，提供相同品牌产品的不同投标人参加同一合同项下投标的，以其中通过资格审查、符合性审查且报价最低的参加评标；报价相同的，由采购人或者采购人委托评标委员会确定技术指标最优的一个投标人参加评标；技术指标仍相同的，采取随机抽取方式确定，其他投标无效。</w:t>
      </w:r>
    </w:p>
    <w:p w14:paraId="07219342">
      <w:pPr>
        <w:spacing w:line="360" w:lineRule="exact"/>
        <w:ind w:firstLine="420" w:firstLineChars="200"/>
        <w:rPr>
          <w:rFonts w:ascii="宋体" w:hAnsi="宋体"/>
          <w:i/>
          <w:szCs w:val="21"/>
        </w:rPr>
      </w:pPr>
      <w:r>
        <w:rPr>
          <w:rFonts w:hint="eastAsia" w:ascii="宋体" w:hAnsi="宋体"/>
          <w:szCs w:val="21"/>
        </w:rPr>
        <w:t>使用综合评分法评标的，提供相同品牌产品且通过资格审查、符合性审查的不同投标人参加同一合同项下投标的，按一家投标人计算，评审后得分最高的同品牌投标人获得中标人推荐资格；评审得分相同的，由采购人或者采购人委托评标委员会确定技术得分最高的一个投标人获得中标人推荐资格；技术得分仍相同的，确定投标报价最低的一个投标人获得中标人推荐资格；投标报价仍相同，采取随机抽取方式确定，其他同品牌投标人不作为中标候选人。</w:t>
      </w:r>
    </w:p>
    <w:p w14:paraId="7004B840">
      <w:pPr>
        <w:spacing w:line="360" w:lineRule="exact"/>
        <w:ind w:firstLine="420" w:firstLineChars="200"/>
        <w:rPr>
          <w:rFonts w:ascii="宋体" w:hAnsi="宋体"/>
          <w:szCs w:val="21"/>
        </w:rPr>
      </w:pPr>
      <w:r>
        <w:rPr>
          <w:rFonts w:hint="eastAsia" w:ascii="宋体" w:hAnsi="宋体"/>
          <w:szCs w:val="21"/>
        </w:rPr>
        <w:t>本项目为非单一产品采购项目，采购人根据采购项目技术构成、产品价格比重等合理确定核心产品，并在招标文件中载明。多家投标人提供的核心产品品牌相同的，按前两款规定处理。本项目核心产品为：</w:t>
      </w:r>
      <w:r>
        <w:rPr>
          <w:rFonts w:hint="eastAsia" w:ascii="宋体" w:hAnsi="宋体"/>
          <w:szCs w:val="21"/>
          <w:u w:val="single"/>
        </w:rPr>
        <w:t xml:space="preserve">   </w:t>
      </w:r>
      <w:r>
        <w:rPr>
          <w:rFonts w:hint="eastAsia" w:ascii="宋体" w:hAnsi="宋体"/>
          <w:b/>
          <w:bCs/>
          <w:szCs w:val="21"/>
          <w:u w:val="single"/>
        </w:rPr>
        <w:t>摄像线、关节镜内窥镜镜头（光学视镜）、关节镜高速刨削器手柄</w:t>
      </w:r>
      <w:r>
        <w:rPr>
          <w:rFonts w:hint="eastAsia" w:ascii="宋体" w:hAnsi="宋体"/>
          <w:szCs w:val="21"/>
          <w:u w:val="single"/>
        </w:rPr>
        <w:t xml:space="preserve">  </w:t>
      </w:r>
      <w:r>
        <w:rPr>
          <w:rFonts w:hint="eastAsia" w:ascii="宋体" w:hAnsi="宋体"/>
          <w:szCs w:val="21"/>
        </w:rPr>
        <w:t>。</w:t>
      </w:r>
    </w:p>
    <w:p w14:paraId="0AC44A32">
      <w:pPr>
        <w:spacing w:line="360" w:lineRule="exact"/>
        <w:ind w:firstLine="422" w:firstLineChars="200"/>
        <w:rPr>
          <w:rFonts w:ascii="宋体" w:hAnsi="宋体"/>
          <w:bCs/>
          <w:szCs w:val="21"/>
        </w:rPr>
      </w:pPr>
      <w:r>
        <w:rPr>
          <w:rFonts w:hint="eastAsia" w:ascii="宋体" w:hAnsi="宋体"/>
          <w:b/>
          <w:szCs w:val="21"/>
        </w:rPr>
        <w:t>4、进口产品：</w:t>
      </w:r>
      <w:r>
        <w:rPr>
          <w:rFonts w:hint="eastAsia" w:ascii="宋体" w:hAnsi="宋体"/>
          <w:szCs w:val="21"/>
        </w:rPr>
        <w:t>对于经财政部门审批同意采购进口产品的，即使在进口产品中，也优先采购向我国企业转让技术、与我国企业签订消化吸收再创新方案的供应商的进口产品是指在采用综合评分法时，如果有两家以上经评审最高得分相同时具有优先性；在采用最低价评标法时，如果经评审最低价在两家以上时具有优先性。供应商如果满足上述条件，须自行在投标文件中提供上述证明文件，否则，不具备优先性。</w:t>
      </w:r>
    </w:p>
    <w:p w14:paraId="2266ECBC">
      <w:pPr>
        <w:spacing w:line="360" w:lineRule="exact"/>
        <w:ind w:firstLine="420" w:firstLineChars="200"/>
        <w:rPr>
          <w:rFonts w:ascii="宋体" w:hAnsi="宋体"/>
          <w:szCs w:val="21"/>
        </w:rPr>
      </w:pPr>
    </w:p>
    <w:p w14:paraId="1665C839">
      <w:pPr>
        <w:jc w:val="center"/>
        <w:outlineLvl w:val="1"/>
        <w:rPr>
          <w:rFonts w:ascii="黑体" w:hAnsi="宋体" w:eastAsia="黑体"/>
          <w:bCs/>
          <w:sz w:val="24"/>
          <w:szCs w:val="24"/>
        </w:rPr>
      </w:pPr>
      <w:bookmarkStart w:id="2" w:name="_Toc353262373"/>
      <w:r>
        <w:rPr>
          <w:rFonts w:hint="eastAsia" w:ascii="黑体" w:hAnsi="宋体" w:eastAsia="黑体"/>
          <w:bCs/>
          <w:sz w:val="24"/>
          <w:szCs w:val="24"/>
        </w:rPr>
        <w:t>第二节  需求一览表</w:t>
      </w:r>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3603"/>
        <w:gridCol w:w="656"/>
        <w:gridCol w:w="656"/>
        <w:gridCol w:w="1179"/>
        <w:gridCol w:w="1475"/>
      </w:tblGrid>
      <w:tr w14:paraId="2C58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9" w:type="pct"/>
            <w:vAlign w:val="center"/>
          </w:tcPr>
          <w:p w14:paraId="3B74A736">
            <w:pPr>
              <w:jc w:val="center"/>
              <w:rPr>
                <w:rFonts w:ascii="宋体" w:hAnsi="宋体"/>
                <w:b/>
              </w:rPr>
            </w:pPr>
            <w:r>
              <w:rPr>
                <w:rFonts w:ascii="宋体" w:hAnsi="宋体"/>
                <w:b/>
              </w:rPr>
              <w:t>序号</w:t>
            </w:r>
          </w:p>
        </w:tc>
        <w:tc>
          <w:tcPr>
            <w:tcW w:w="2114" w:type="pct"/>
            <w:vAlign w:val="center"/>
          </w:tcPr>
          <w:p w14:paraId="55FEC6FD">
            <w:pPr>
              <w:jc w:val="center"/>
              <w:rPr>
                <w:rFonts w:ascii="宋体" w:hAnsi="宋体"/>
                <w:b/>
              </w:rPr>
            </w:pPr>
            <w:r>
              <w:rPr>
                <w:rFonts w:hint="eastAsia" w:ascii="宋体" w:hAnsi="宋体"/>
                <w:b/>
              </w:rPr>
              <w:t>货物</w:t>
            </w:r>
            <w:r>
              <w:rPr>
                <w:rFonts w:ascii="宋体" w:hAnsi="宋体"/>
                <w:b/>
              </w:rPr>
              <w:t>名称</w:t>
            </w:r>
          </w:p>
        </w:tc>
        <w:tc>
          <w:tcPr>
            <w:tcW w:w="385" w:type="pct"/>
            <w:vAlign w:val="center"/>
          </w:tcPr>
          <w:p w14:paraId="141C8656">
            <w:pPr>
              <w:jc w:val="center"/>
              <w:rPr>
                <w:rFonts w:ascii="宋体" w:hAnsi="宋体"/>
                <w:b/>
              </w:rPr>
            </w:pPr>
            <w:r>
              <w:rPr>
                <w:rFonts w:ascii="宋体" w:hAnsi="宋体"/>
                <w:b/>
              </w:rPr>
              <w:t>数量</w:t>
            </w:r>
          </w:p>
        </w:tc>
        <w:tc>
          <w:tcPr>
            <w:tcW w:w="385" w:type="pct"/>
            <w:vAlign w:val="center"/>
          </w:tcPr>
          <w:p w14:paraId="61635232">
            <w:pPr>
              <w:jc w:val="center"/>
              <w:rPr>
                <w:rFonts w:ascii="宋体" w:hAnsi="宋体"/>
                <w:b/>
              </w:rPr>
            </w:pPr>
            <w:r>
              <w:rPr>
                <w:rFonts w:ascii="宋体" w:hAnsi="宋体"/>
                <w:b/>
              </w:rPr>
              <w:t>单位</w:t>
            </w:r>
          </w:p>
        </w:tc>
        <w:tc>
          <w:tcPr>
            <w:tcW w:w="692" w:type="pct"/>
            <w:vAlign w:val="center"/>
          </w:tcPr>
          <w:p w14:paraId="385810CD">
            <w:pPr>
              <w:jc w:val="center"/>
              <w:rPr>
                <w:b/>
                <w:szCs w:val="21"/>
              </w:rPr>
            </w:pPr>
            <w:r>
              <w:rPr>
                <w:rFonts w:hint="eastAsia"/>
                <w:b/>
                <w:szCs w:val="21"/>
              </w:rPr>
              <w:t>备注</w:t>
            </w:r>
          </w:p>
        </w:tc>
        <w:tc>
          <w:tcPr>
            <w:tcW w:w="865" w:type="pct"/>
            <w:vAlign w:val="center"/>
          </w:tcPr>
          <w:p w14:paraId="1C334B53">
            <w:pPr>
              <w:jc w:val="center"/>
              <w:rPr>
                <w:rFonts w:ascii="宋体" w:hAnsi="宋体"/>
                <w:b/>
              </w:rPr>
            </w:pPr>
            <w:r>
              <w:rPr>
                <w:rFonts w:hint="eastAsia"/>
                <w:b/>
                <w:szCs w:val="21"/>
              </w:rPr>
              <w:t>预算控制金额</w:t>
            </w:r>
          </w:p>
        </w:tc>
      </w:tr>
      <w:tr w14:paraId="1DEC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9" w:type="pct"/>
            <w:vAlign w:val="center"/>
          </w:tcPr>
          <w:p w14:paraId="743B3A10">
            <w:pPr>
              <w:jc w:val="center"/>
              <w:rPr>
                <w:rFonts w:ascii="宋体" w:hAnsi="宋体"/>
              </w:rPr>
            </w:pPr>
            <w:r>
              <w:rPr>
                <w:rFonts w:ascii="宋体" w:hAnsi="宋体"/>
              </w:rPr>
              <w:t>1</w:t>
            </w:r>
          </w:p>
        </w:tc>
        <w:tc>
          <w:tcPr>
            <w:tcW w:w="2114" w:type="pct"/>
            <w:vAlign w:val="center"/>
          </w:tcPr>
          <w:p w14:paraId="39D71AF2">
            <w:pPr>
              <w:jc w:val="center"/>
              <w:rPr>
                <w:rFonts w:ascii="宋体" w:hAnsi="宋体"/>
              </w:rPr>
            </w:pPr>
            <w:r>
              <w:rPr>
                <w:rFonts w:hint="eastAsia"/>
                <w:szCs w:val="21"/>
              </w:rPr>
              <w:t>摄像线</w:t>
            </w:r>
          </w:p>
        </w:tc>
        <w:tc>
          <w:tcPr>
            <w:tcW w:w="385" w:type="pct"/>
            <w:vAlign w:val="center"/>
          </w:tcPr>
          <w:p w14:paraId="3D83237B">
            <w:pPr>
              <w:jc w:val="center"/>
              <w:rPr>
                <w:rFonts w:ascii="宋体" w:hAnsi="宋体"/>
              </w:rPr>
            </w:pPr>
            <w:r>
              <w:rPr>
                <w:rFonts w:hint="eastAsia" w:ascii="宋体" w:hAnsi="宋体"/>
              </w:rPr>
              <w:t>1</w:t>
            </w:r>
          </w:p>
        </w:tc>
        <w:tc>
          <w:tcPr>
            <w:tcW w:w="385" w:type="pct"/>
            <w:vAlign w:val="center"/>
          </w:tcPr>
          <w:p w14:paraId="3175A707">
            <w:pPr>
              <w:jc w:val="center"/>
              <w:rPr>
                <w:rFonts w:ascii="宋体" w:hAnsi="宋体"/>
              </w:rPr>
            </w:pPr>
            <w:r>
              <w:rPr>
                <w:rFonts w:hint="eastAsia" w:ascii="宋体" w:hAnsi="宋体"/>
              </w:rPr>
              <w:t>套</w:t>
            </w:r>
          </w:p>
        </w:tc>
        <w:tc>
          <w:tcPr>
            <w:tcW w:w="692" w:type="pct"/>
            <w:vAlign w:val="center"/>
          </w:tcPr>
          <w:p w14:paraId="43CDF7D4">
            <w:pPr>
              <w:jc w:val="center"/>
              <w:rPr>
                <w:b/>
                <w:bCs/>
                <w:szCs w:val="21"/>
              </w:rPr>
            </w:pPr>
            <w:r>
              <w:rPr>
                <w:rFonts w:hint="eastAsia"/>
                <w:b/>
                <w:bCs/>
                <w:szCs w:val="21"/>
              </w:rPr>
              <w:t>接受进口</w:t>
            </w:r>
          </w:p>
        </w:tc>
        <w:tc>
          <w:tcPr>
            <w:tcW w:w="865" w:type="pct"/>
            <w:vAlign w:val="center"/>
          </w:tcPr>
          <w:p w14:paraId="56F3F66A">
            <w:pPr>
              <w:jc w:val="center"/>
              <w:rPr>
                <w:rFonts w:ascii="宋体" w:hAnsi="宋体"/>
              </w:rPr>
            </w:pPr>
            <w:r>
              <w:rPr>
                <w:rFonts w:hint="eastAsia"/>
                <w:szCs w:val="21"/>
              </w:rPr>
              <w:t>23万元</w:t>
            </w:r>
          </w:p>
        </w:tc>
      </w:tr>
      <w:tr w14:paraId="51FD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9" w:type="pct"/>
            <w:vAlign w:val="center"/>
          </w:tcPr>
          <w:p w14:paraId="600D5D00">
            <w:pPr>
              <w:jc w:val="center"/>
              <w:rPr>
                <w:rFonts w:ascii="宋体" w:hAnsi="宋体"/>
              </w:rPr>
            </w:pPr>
            <w:r>
              <w:rPr>
                <w:rFonts w:hint="eastAsia" w:ascii="宋体" w:hAnsi="宋体"/>
              </w:rPr>
              <w:t>2</w:t>
            </w:r>
          </w:p>
        </w:tc>
        <w:tc>
          <w:tcPr>
            <w:tcW w:w="2114" w:type="pct"/>
            <w:vAlign w:val="center"/>
          </w:tcPr>
          <w:p w14:paraId="7FB4C2DA">
            <w:pPr>
              <w:jc w:val="center"/>
              <w:rPr>
                <w:rFonts w:ascii="宋体" w:hAnsi="宋体"/>
                <w:szCs w:val="21"/>
              </w:rPr>
            </w:pPr>
            <w:r>
              <w:rPr>
                <w:rFonts w:hint="eastAsia"/>
                <w:szCs w:val="21"/>
              </w:rPr>
              <w:t>关节镜内窥镜镜头（光学视镜）</w:t>
            </w:r>
          </w:p>
        </w:tc>
        <w:tc>
          <w:tcPr>
            <w:tcW w:w="385" w:type="pct"/>
            <w:vAlign w:val="center"/>
          </w:tcPr>
          <w:p w14:paraId="13D6A91D">
            <w:pPr>
              <w:jc w:val="center"/>
              <w:rPr>
                <w:rFonts w:ascii="宋体" w:hAnsi="宋体"/>
              </w:rPr>
            </w:pPr>
            <w:r>
              <w:rPr>
                <w:rFonts w:hint="eastAsia" w:ascii="宋体" w:hAnsi="宋体"/>
              </w:rPr>
              <w:t>2</w:t>
            </w:r>
          </w:p>
        </w:tc>
        <w:tc>
          <w:tcPr>
            <w:tcW w:w="385" w:type="pct"/>
            <w:vAlign w:val="center"/>
          </w:tcPr>
          <w:p w14:paraId="3D25E822">
            <w:pPr>
              <w:jc w:val="center"/>
              <w:rPr>
                <w:rFonts w:ascii="宋体" w:hAnsi="宋体"/>
              </w:rPr>
            </w:pPr>
            <w:r>
              <w:rPr>
                <w:rFonts w:hint="eastAsia" w:ascii="宋体" w:hAnsi="宋体"/>
              </w:rPr>
              <w:t>套</w:t>
            </w:r>
          </w:p>
        </w:tc>
        <w:tc>
          <w:tcPr>
            <w:tcW w:w="692" w:type="pct"/>
            <w:vAlign w:val="center"/>
          </w:tcPr>
          <w:p w14:paraId="0D37C177">
            <w:pPr>
              <w:jc w:val="center"/>
              <w:rPr>
                <w:b/>
                <w:bCs/>
                <w:szCs w:val="21"/>
              </w:rPr>
            </w:pPr>
            <w:r>
              <w:rPr>
                <w:rFonts w:hint="eastAsia"/>
                <w:b/>
                <w:bCs/>
                <w:szCs w:val="21"/>
              </w:rPr>
              <w:t>接受进口</w:t>
            </w:r>
          </w:p>
        </w:tc>
        <w:tc>
          <w:tcPr>
            <w:tcW w:w="865" w:type="pct"/>
            <w:vAlign w:val="center"/>
          </w:tcPr>
          <w:p w14:paraId="468BE897">
            <w:pPr>
              <w:jc w:val="center"/>
              <w:rPr>
                <w:rFonts w:ascii="宋体" w:hAnsi="宋体"/>
              </w:rPr>
            </w:pPr>
            <w:r>
              <w:rPr>
                <w:rFonts w:hint="eastAsia"/>
                <w:szCs w:val="21"/>
              </w:rPr>
              <w:t>10.2万元</w:t>
            </w:r>
          </w:p>
        </w:tc>
      </w:tr>
      <w:tr w14:paraId="2DC3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9" w:type="pct"/>
            <w:vAlign w:val="center"/>
          </w:tcPr>
          <w:p w14:paraId="0F075E22">
            <w:pPr>
              <w:jc w:val="center"/>
              <w:rPr>
                <w:rFonts w:ascii="宋体" w:hAnsi="宋体"/>
              </w:rPr>
            </w:pPr>
            <w:r>
              <w:rPr>
                <w:rFonts w:hint="eastAsia" w:ascii="宋体" w:hAnsi="宋体"/>
              </w:rPr>
              <w:t>3</w:t>
            </w:r>
          </w:p>
        </w:tc>
        <w:tc>
          <w:tcPr>
            <w:tcW w:w="2114" w:type="pct"/>
            <w:vAlign w:val="center"/>
          </w:tcPr>
          <w:p w14:paraId="0FEB030D">
            <w:pPr>
              <w:jc w:val="center"/>
              <w:rPr>
                <w:rFonts w:ascii="宋体" w:hAnsi="宋体"/>
                <w:szCs w:val="21"/>
              </w:rPr>
            </w:pPr>
            <w:r>
              <w:rPr>
                <w:rFonts w:hint="eastAsia"/>
                <w:szCs w:val="21"/>
              </w:rPr>
              <w:t>关节镜高速刨削器手柄</w:t>
            </w:r>
          </w:p>
        </w:tc>
        <w:tc>
          <w:tcPr>
            <w:tcW w:w="385" w:type="pct"/>
            <w:vAlign w:val="center"/>
          </w:tcPr>
          <w:p w14:paraId="56DEB7E9">
            <w:pPr>
              <w:jc w:val="center"/>
              <w:rPr>
                <w:rFonts w:ascii="宋体" w:hAnsi="宋体"/>
              </w:rPr>
            </w:pPr>
            <w:r>
              <w:rPr>
                <w:rFonts w:hint="eastAsia" w:ascii="宋体" w:hAnsi="宋体"/>
              </w:rPr>
              <w:t>1</w:t>
            </w:r>
          </w:p>
        </w:tc>
        <w:tc>
          <w:tcPr>
            <w:tcW w:w="385" w:type="pct"/>
            <w:vAlign w:val="center"/>
          </w:tcPr>
          <w:p w14:paraId="7A59A9C6">
            <w:pPr>
              <w:jc w:val="center"/>
              <w:rPr>
                <w:rFonts w:ascii="宋体" w:hAnsi="宋体"/>
              </w:rPr>
            </w:pPr>
            <w:r>
              <w:rPr>
                <w:rFonts w:hint="eastAsia" w:ascii="宋体" w:hAnsi="宋体"/>
              </w:rPr>
              <w:t>套</w:t>
            </w:r>
          </w:p>
        </w:tc>
        <w:tc>
          <w:tcPr>
            <w:tcW w:w="692" w:type="pct"/>
            <w:vAlign w:val="center"/>
          </w:tcPr>
          <w:p w14:paraId="7C6B8BE6">
            <w:pPr>
              <w:jc w:val="center"/>
              <w:rPr>
                <w:b/>
                <w:bCs/>
                <w:szCs w:val="21"/>
              </w:rPr>
            </w:pPr>
            <w:r>
              <w:rPr>
                <w:rFonts w:hint="eastAsia"/>
                <w:b/>
                <w:bCs/>
                <w:szCs w:val="21"/>
              </w:rPr>
              <w:t>接受进口</w:t>
            </w:r>
          </w:p>
        </w:tc>
        <w:tc>
          <w:tcPr>
            <w:tcW w:w="865" w:type="pct"/>
            <w:vAlign w:val="center"/>
          </w:tcPr>
          <w:p w14:paraId="3F6C8F7F">
            <w:pPr>
              <w:jc w:val="center"/>
              <w:rPr>
                <w:szCs w:val="21"/>
              </w:rPr>
            </w:pPr>
            <w:r>
              <w:rPr>
                <w:rFonts w:hint="eastAsia"/>
                <w:szCs w:val="21"/>
              </w:rPr>
              <w:t>5.2万元</w:t>
            </w:r>
          </w:p>
        </w:tc>
      </w:tr>
      <w:tr w14:paraId="33B7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5" w:type="pct"/>
            <w:gridSpan w:val="5"/>
            <w:vAlign w:val="center"/>
          </w:tcPr>
          <w:p w14:paraId="390E5539">
            <w:pPr>
              <w:jc w:val="center"/>
              <w:rPr>
                <w:b/>
                <w:bCs/>
                <w:szCs w:val="21"/>
              </w:rPr>
            </w:pPr>
            <w:r>
              <w:rPr>
                <w:rFonts w:hint="eastAsia"/>
                <w:b/>
                <w:bCs/>
                <w:szCs w:val="21"/>
              </w:rPr>
              <w:t>合计</w:t>
            </w:r>
          </w:p>
        </w:tc>
        <w:tc>
          <w:tcPr>
            <w:tcW w:w="865" w:type="pct"/>
            <w:vAlign w:val="center"/>
          </w:tcPr>
          <w:p w14:paraId="32058F3F">
            <w:pPr>
              <w:jc w:val="center"/>
              <w:rPr>
                <w:szCs w:val="21"/>
              </w:rPr>
            </w:pPr>
            <w:r>
              <w:rPr>
                <w:rFonts w:hint="eastAsia"/>
                <w:szCs w:val="21"/>
              </w:rPr>
              <w:t>38.4万元</w:t>
            </w:r>
          </w:p>
        </w:tc>
      </w:tr>
    </w:tbl>
    <w:p w14:paraId="3964EC84">
      <w:pPr>
        <w:spacing w:line="360" w:lineRule="exact"/>
        <w:ind w:firstLine="422" w:firstLineChars="200"/>
        <w:rPr>
          <w:rFonts w:ascii="宋体" w:hAnsi="宋体"/>
          <w:b/>
          <w:szCs w:val="21"/>
        </w:rPr>
      </w:pPr>
      <w:r>
        <w:rPr>
          <w:rFonts w:hint="eastAsia" w:ascii="宋体" w:hAnsi="宋体"/>
          <w:b/>
          <w:szCs w:val="21"/>
        </w:rPr>
        <w:t>注：备注栏注明“拒绝进口”的产品不接受投标人选用进口产品参与投标；注明“接受进口”的产品允许投标人选用进口产品参与投标，但不排斥国内产品。</w:t>
      </w:r>
    </w:p>
    <w:p w14:paraId="4D12839A">
      <w:pPr>
        <w:spacing w:line="360" w:lineRule="exact"/>
        <w:ind w:firstLine="422" w:firstLineChars="200"/>
        <w:rPr>
          <w:rFonts w:ascii="宋体" w:hAnsi="宋体"/>
          <w:b/>
          <w:bCs/>
          <w:szCs w:val="21"/>
        </w:rPr>
      </w:pPr>
    </w:p>
    <w:p w14:paraId="5217CFAC">
      <w:pPr>
        <w:jc w:val="center"/>
        <w:outlineLvl w:val="1"/>
        <w:rPr>
          <w:rFonts w:ascii="黑体" w:hAnsi="宋体" w:eastAsia="黑体"/>
          <w:bCs/>
          <w:sz w:val="24"/>
          <w:szCs w:val="24"/>
        </w:rPr>
      </w:pPr>
      <w:bookmarkStart w:id="3" w:name="_Toc353262374"/>
      <w:r>
        <w:rPr>
          <w:rFonts w:hint="eastAsia" w:ascii="黑体" w:hAnsi="宋体" w:eastAsia="黑体"/>
          <w:bCs/>
          <w:sz w:val="24"/>
          <w:szCs w:val="24"/>
        </w:rPr>
        <w:t>第三节  技术需求明细</w:t>
      </w:r>
      <w:bookmarkEnd w:id="3"/>
    </w:p>
    <w:p w14:paraId="09D747EC">
      <w:pPr>
        <w:spacing w:line="350" w:lineRule="exact"/>
        <w:ind w:firstLine="422" w:firstLineChars="200"/>
        <w:rPr>
          <w:rFonts w:ascii="宋体" w:hAnsi="宋体"/>
          <w:b/>
          <w:bCs/>
          <w:szCs w:val="21"/>
        </w:rPr>
      </w:pPr>
      <w:r>
        <w:rPr>
          <w:rFonts w:hint="eastAsia" w:ascii="宋体" w:hAnsi="宋体"/>
          <w:b/>
          <w:bCs/>
          <w:szCs w:val="21"/>
        </w:rPr>
        <w:t>一、设备参数</w:t>
      </w:r>
    </w:p>
    <w:p w14:paraId="54F9E294">
      <w:pPr>
        <w:spacing w:line="360" w:lineRule="exact"/>
        <w:ind w:firstLine="420" w:firstLineChars="200"/>
        <w:rPr>
          <w:rFonts w:ascii="宋体" w:hAnsi="宋体"/>
          <w:szCs w:val="21"/>
        </w:rPr>
      </w:pPr>
      <w:r>
        <w:rPr>
          <w:rFonts w:hint="eastAsia" w:ascii="宋体" w:hAnsi="宋体"/>
          <w:szCs w:val="21"/>
        </w:rPr>
        <w:t>（一）</w:t>
      </w:r>
      <w:r>
        <w:rPr>
          <w:rFonts w:hint="eastAsia" w:ascii="宋体" w:hAnsi="宋体"/>
          <w:b/>
          <w:bCs/>
          <w:szCs w:val="21"/>
        </w:rPr>
        <w:t>摄像线</w:t>
      </w:r>
      <w:r>
        <w:rPr>
          <w:rFonts w:hint="eastAsia" w:ascii="宋体" w:hAnsi="宋体"/>
          <w:szCs w:val="21"/>
        </w:rPr>
        <w:t>：</w:t>
      </w:r>
    </w:p>
    <w:p w14:paraId="69C7FE66">
      <w:pPr>
        <w:spacing w:line="360" w:lineRule="exact"/>
        <w:ind w:firstLine="420" w:firstLineChars="200"/>
        <w:rPr>
          <w:rFonts w:ascii="宋体" w:hAnsi="宋体"/>
          <w:szCs w:val="21"/>
        </w:rPr>
      </w:pPr>
      <w:r>
        <w:rPr>
          <w:rFonts w:hint="eastAsia" w:ascii="宋体" w:hAnsi="宋体"/>
          <w:szCs w:val="21"/>
        </w:rPr>
        <w:t>1、三晶片常规摄像头，全高清，多种输出方式，灵敏度高，信噪比大，图像增强功能，数字信号处理系统，增益功能；</w:t>
      </w:r>
    </w:p>
    <w:p w14:paraId="4B11D87D">
      <w:pPr>
        <w:spacing w:line="360" w:lineRule="exact"/>
        <w:ind w:firstLine="420" w:firstLineChars="200"/>
        <w:rPr>
          <w:rFonts w:ascii="宋体" w:hAnsi="宋体"/>
          <w:szCs w:val="21"/>
        </w:rPr>
      </w:pPr>
      <w:r>
        <w:rPr>
          <w:rFonts w:hint="eastAsia" w:ascii="宋体" w:hAnsi="宋体"/>
          <w:szCs w:val="21"/>
        </w:rPr>
        <w:t>2、快门速度1/50-1/10000，逐行扫描；</w:t>
      </w:r>
    </w:p>
    <w:p w14:paraId="00838DCC">
      <w:pPr>
        <w:spacing w:line="360" w:lineRule="exact"/>
        <w:ind w:firstLine="420" w:firstLineChars="200"/>
        <w:rPr>
          <w:rFonts w:ascii="宋体" w:hAnsi="宋体"/>
          <w:szCs w:val="21"/>
        </w:rPr>
      </w:pPr>
      <w:r>
        <w:rPr>
          <w:rFonts w:hint="eastAsia" w:ascii="宋体" w:hAnsi="宋体"/>
          <w:szCs w:val="21"/>
        </w:rPr>
        <w:t>3、多功能摄像头，电缆长度≥3m；</w:t>
      </w:r>
    </w:p>
    <w:p w14:paraId="78403986">
      <w:pPr>
        <w:spacing w:line="360" w:lineRule="exact"/>
        <w:ind w:firstLine="420" w:firstLineChars="200"/>
        <w:rPr>
          <w:rFonts w:ascii="宋体" w:hAnsi="宋体"/>
          <w:szCs w:val="21"/>
        </w:rPr>
      </w:pPr>
      <w:r>
        <w:rPr>
          <w:rFonts w:hint="eastAsia" w:ascii="宋体" w:hAnsi="宋体"/>
          <w:szCs w:val="21"/>
        </w:rPr>
        <w:t>4、摄像头电缆抗扭曲，适配1288腔镜系统 ,含摄像头调焦环。</w:t>
      </w:r>
    </w:p>
    <w:p w14:paraId="7980BEBA">
      <w:pPr>
        <w:numPr>
          <w:ilvl w:val="0"/>
          <w:numId w:val="2"/>
        </w:numPr>
        <w:spacing w:line="360" w:lineRule="exact"/>
        <w:ind w:firstLine="422" w:firstLineChars="200"/>
        <w:rPr>
          <w:rFonts w:ascii="宋体" w:hAnsi="宋体"/>
          <w:szCs w:val="21"/>
        </w:rPr>
      </w:pPr>
      <w:r>
        <w:rPr>
          <w:rFonts w:hint="eastAsia" w:ascii="宋体" w:hAnsi="宋体"/>
          <w:b/>
          <w:bCs/>
          <w:szCs w:val="21"/>
        </w:rPr>
        <w:t>关节镜内窥镜镜头（光学视镜）</w:t>
      </w:r>
      <w:r>
        <w:rPr>
          <w:rFonts w:hint="eastAsia" w:ascii="宋体" w:hAnsi="宋体"/>
          <w:szCs w:val="21"/>
        </w:rPr>
        <w:t>：</w:t>
      </w:r>
    </w:p>
    <w:p w14:paraId="6EBB297B">
      <w:pPr>
        <w:spacing w:line="360" w:lineRule="exact"/>
        <w:ind w:firstLine="420" w:firstLineChars="200"/>
        <w:rPr>
          <w:rFonts w:ascii="宋体" w:hAnsi="宋体"/>
          <w:szCs w:val="21"/>
        </w:rPr>
      </w:pPr>
      <w:r>
        <w:rPr>
          <w:rFonts w:hint="eastAsia" w:ascii="宋体" w:hAnsi="宋体"/>
          <w:szCs w:val="21"/>
        </w:rPr>
        <w:t>1、HD高清柱状广角镜30度，直径4mm，长度140mm及以上，快速接头。（含消毒盒）；</w:t>
      </w:r>
    </w:p>
    <w:p w14:paraId="4FD6B0EC">
      <w:pPr>
        <w:spacing w:line="360" w:lineRule="exact"/>
        <w:ind w:firstLine="420" w:firstLineChars="200"/>
        <w:rPr>
          <w:rFonts w:ascii="宋体" w:hAnsi="宋体"/>
          <w:szCs w:val="21"/>
        </w:rPr>
      </w:pPr>
      <w:r>
        <w:rPr>
          <w:rFonts w:hint="eastAsia" w:ascii="宋体" w:hAnsi="宋体"/>
          <w:szCs w:val="21"/>
        </w:rPr>
        <w:t>2、</w:t>
      </w:r>
      <w:r>
        <w:rPr>
          <w:rFonts w:hint="eastAsia" w:ascii="宋体" w:hAnsi="宋体"/>
          <w:b/>
          <w:bCs/>
          <w:szCs w:val="21"/>
        </w:rPr>
        <w:t>光纤</w:t>
      </w:r>
      <w:r>
        <w:rPr>
          <w:rFonts w:hint="eastAsia" w:ascii="宋体" w:hAnsi="宋体"/>
          <w:szCs w:val="21"/>
        </w:rPr>
        <w:t>：和光学视镜配套，</w:t>
      </w:r>
    </w:p>
    <w:p w14:paraId="3A313E6C">
      <w:pPr>
        <w:spacing w:line="360" w:lineRule="exact"/>
        <w:ind w:firstLine="420" w:firstLineChars="200"/>
        <w:rPr>
          <w:rFonts w:ascii="宋体" w:hAnsi="宋体"/>
          <w:szCs w:val="21"/>
        </w:rPr>
      </w:pPr>
      <w:r>
        <w:rPr>
          <w:rFonts w:hint="eastAsia" w:ascii="宋体" w:hAnsi="宋体"/>
          <w:szCs w:val="21"/>
        </w:rPr>
        <w:t>长度≥300cm，直径2-6.5mm，通用光纤卡口，可直接插入光源主机。</w:t>
      </w:r>
    </w:p>
    <w:p w14:paraId="33800899">
      <w:pPr>
        <w:spacing w:line="360" w:lineRule="exact"/>
        <w:ind w:firstLine="420" w:firstLineChars="200"/>
        <w:rPr>
          <w:rFonts w:ascii="宋体" w:hAnsi="宋体"/>
          <w:szCs w:val="21"/>
        </w:rPr>
      </w:pPr>
      <w:r>
        <w:rPr>
          <w:rFonts w:hint="eastAsia" w:ascii="宋体" w:hAnsi="宋体"/>
          <w:szCs w:val="21"/>
        </w:rPr>
        <w:t>（三）</w:t>
      </w:r>
      <w:r>
        <w:rPr>
          <w:rFonts w:hint="eastAsia" w:ascii="宋体" w:hAnsi="宋体"/>
          <w:b/>
          <w:bCs/>
          <w:szCs w:val="21"/>
        </w:rPr>
        <w:t>关节镜高速刨削器手柄</w:t>
      </w:r>
      <w:r>
        <w:rPr>
          <w:rFonts w:hint="eastAsia" w:ascii="宋体" w:hAnsi="宋体"/>
          <w:szCs w:val="21"/>
        </w:rPr>
        <w:t>：</w:t>
      </w:r>
    </w:p>
    <w:p w14:paraId="3CE8A51F">
      <w:pPr>
        <w:spacing w:line="360" w:lineRule="exact"/>
        <w:ind w:firstLine="420" w:firstLineChars="200"/>
        <w:rPr>
          <w:rFonts w:ascii="宋体" w:hAnsi="宋体"/>
          <w:szCs w:val="21"/>
        </w:rPr>
      </w:pPr>
      <w:r>
        <w:rPr>
          <w:rFonts w:hint="eastAsia" w:ascii="宋体" w:hAnsi="宋体"/>
          <w:szCs w:val="21"/>
        </w:rPr>
        <w:t>1、手柄可高温高压消毒，工作手机既可接重复使用的刀头，也可以接一次性刀头，最大转速12000转/分钟，可正向反向及往复三种模式，系统可编程可升级，十级加速及刹车功能；</w:t>
      </w:r>
    </w:p>
    <w:p w14:paraId="3A505CE5">
      <w:pPr>
        <w:spacing w:line="360" w:lineRule="exact"/>
        <w:ind w:firstLine="420" w:firstLineChars="200"/>
        <w:rPr>
          <w:rFonts w:ascii="宋体" w:hAnsi="宋体"/>
          <w:szCs w:val="21"/>
        </w:rPr>
      </w:pPr>
      <w:r>
        <w:rPr>
          <w:rFonts w:hint="eastAsia" w:ascii="宋体" w:hAnsi="宋体"/>
          <w:szCs w:val="21"/>
        </w:rPr>
        <w:t>2、刨削刀头自动识别功能，刀头释放按钮，使刀头更换更加快速方便；</w:t>
      </w:r>
    </w:p>
    <w:p w14:paraId="5C0A5117">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手控按钮：侧面设计，利于拇指操作</w:t>
      </w:r>
      <w:r>
        <w:rPr>
          <w:rFonts w:hint="eastAsia" w:ascii="宋体" w:hAnsi="宋体"/>
          <w:szCs w:val="21"/>
        </w:rPr>
        <w:t>；</w:t>
      </w:r>
    </w:p>
    <w:p w14:paraId="0BCD183B">
      <w:pPr>
        <w:spacing w:line="36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带角度可旋转的吸引管</w:t>
      </w:r>
      <w:r>
        <w:rPr>
          <w:rFonts w:hint="eastAsia" w:ascii="宋体" w:hAnsi="宋体"/>
          <w:szCs w:val="21"/>
        </w:rPr>
        <w:t>接</w:t>
      </w:r>
      <w:r>
        <w:rPr>
          <w:rFonts w:ascii="宋体" w:hAnsi="宋体"/>
          <w:szCs w:val="21"/>
        </w:rPr>
        <w:t>头，方便放置吸引管，防止吸引管缠绕。吸引控制杆。</w:t>
      </w:r>
    </w:p>
    <w:p w14:paraId="6F8B30A1">
      <w:pPr>
        <w:spacing w:line="340" w:lineRule="exact"/>
        <w:ind w:firstLine="472" w:firstLineChars="225"/>
        <w:rPr>
          <w:rFonts w:ascii="宋体" w:hAnsi="宋体"/>
          <w:szCs w:val="21"/>
        </w:rPr>
      </w:pPr>
    </w:p>
    <w:p w14:paraId="222EEBC8">
      <w:pPr>
        <w:jc w:val="center"/>
        <w:outlineLvl w:val="1"/>
        <w:rPr>
          <w:rFonts w:ascii="黑体" w:hAnsi="宋体" w:eastAsia="黑体"/>
          <w:bCs/>
          <w:sz w:val="24"/>
          <w:szCs w:val="24"/>
        </w:rPr>
      </w:pPr>
      <w:bookmarkStart w:id="4" w:name="_Toc353262375"/>
      <w:r>
        <w:rPr>
          <w:rFonts w:hint="eastAsia" w:ascii="黑体" w:hAnsi="宋体" w:eastAsia="黑体"/>
          <w:bCs/>
          <w:sz w:val="24"/>
          <w:szCs w:val="24"/>
        </w:rPr>
        <w:t>第四节  商务需求明细</w:t>
      </w:r>
      <w:bookmarkEnd w:id="4"/>
    </w:p>
    <w:p w14:paraId="771FFA29">
      <w:pPr>
        <w:spacing w:line="340" w:lineRule="exact"/>
        <w:ind w:firstLine="422" w:firstLineChars="200"/>
        <w:rPr>
          <w:rFonts w:ascii="宋体" w:hAnsi="宋体"/>
          <w:b/>
          <w:bCs/>
          <w:szCs w:val="21"/>
        </w:rPr>
      </w:pPr>
    </w:p>
    <w:tbl>
      <w:tblPr>
        <w:tblStyle w:val="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6095"/>
      </w:tblGrid>
      <w:tr w14:paraId="7526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14:paraId="1C26181E">
            <w:pPr>
              <w:jc w:val="center"/>
              <w:rPr>
                <w:rFonts w:ascii="宋体" w:hAnsi="宋体"/>
                <w:b/>
                <w:szCs w:val="21"/>
              </w:rPr>
            </w:pPr>
            <w:r>
              <w:rPr>
                <w:rFonts w:hint="eastAsia" w:ascii="宋体" w:hAnsi="宋体"/>
                <w:b/>
                <w:szCs w:val="21"/>
              </w:rPr>
              <w:t>序号</w:t>
            </w:r>
          </w:p>
        </w:tc>
        <w:tc>
          <w:tcPr>
            <w:tcW w:w="1701" w:type="dxa"/>
            <w:vAlign w:val="center"/>
          </w:tcPr>
          <w:p w14:paraId="0B93AA0A">
            <w:pPr>
              <w:jc w:val="center"/>
              <w:rPr>
                <w:rFonts w:ascii="宋体" w:hAnsi="宋体"/>
                <w:b/>
                <w:szCs w:val="21"/>
              </w:rPr>
            </w:pPr>
            <w:r>
              <w:rPr>
                <w:rFonts w:hint="eastAsia" w:ascii="宋体" w:hAnsi="宋体"/>
                <w:b/>
                <w:szCs w:val="21"/>
              </w:rPr>
              <w:t>目录</w:t>
            </w:r>
          </w:p>
        </w:tc>
        <w:tc>
          <w:tcPr>
            <w:tcW w:w="6095" w:type="dxa"/>
            <w:vAlign w:val="center"/>
          </w:tcPr>
          <w:p w14:paraId="5173D73F">
            <w:pPr>
              <w:jc w:val="center"/>
              <w:rPr>
                <w:rFonts w:ascii="宋体" w:hAnsi="宋体"/>
                <w:b/>
                <w:szCs w:val="21"/>
              </w:rPr>
            </w:pPr>
            <w:r>
              <w:rPr>
                <w:rFonts w:hint="eastAsia" w:ascii="宋体" w:hAnsi="宋体"/>
                <w:b/>
                <w:szCs w:val="21"/>
              </w:rPr>
              <w:t>商务需求</w:t>
            </w:r>
          </w:p>
        </w:tc>
      </w:tr>
      <w:tr w14:paraId="23ED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7" w:type="dxa"/>
            <w:gridSpan w:val="3"/>
            <w:vAlign w:val="center"/>
          </w:tcPr>
          <w:p w14:paraId="29E380DA">
            <w:pPr>
              <w:rPr>
                <w:rFonts w:ascii="宋体" w:hAnsi="宋体"/>
                <w:b/>
                <w:szCs w:val="21"/>
              </w:rPr>
            </w:pPr>
            <w:r>
              <w:rPr>
                <w:rFonts w:hint="eastAsia" w:ascii="宋体" w:hAnsi="宋体"/>
                <w:b/>
                <w:szCs w:val="21"/>
              </w:rPr>
              <w:t>（一）免费保修期内售后服务要求</w:t>
            </w:r>
          </w:p>
        </w:tc>
      </w:tr>
      <w:tr w14:paraId="101D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14:paraId="2B11F684">
            <w:pPr>
              <w:jc w:val="center"/>
              <w:rPr>
                <w:rFonts w:ascii="宋体" w:hAnsi="宋体"/>
                <w:b/>
                <w:szCs w:val="21"/>
              </w:rPr>
            </w:pPr>
            <w:r>
              <w:rPr>
                <w:rFonts w:hint="eastAsia" w:ascii="宋体" w:hAnsi="宋体"/>
                <w:b/>
                <w:szCs w:val="21"/>
              </w:rPr>
              <w:t>1</w:t>
            </w:r>
          </w:p>
        </w:tc>
        <w:tc>
          <w:tcPr>
            <w:tcW w:w="1701" w:type="dxa"/>
            <w:vMerge w:val="restart"/>
            <w:vAlign w:val="center"/>
          </w:tcPr>
          <w:p w14:paraId="5CCDFA16">
            <w:pPr>
              <w:rPr>
                <w:rFonts w:ascii="宋体" w:hAnsi="宋体"/>
                <w:szCs w:val="21"/>
              </w:rPr>
            </w:pPr>
            <w:r>
              <w:rPr>
                <w:rFonts w:hint="eastAsia" w:ascii="宋体" w:hAnsi="宋体"/>
                <w:b/>
                <w:kern w:val="0"/>
                <w:szCs w:val="21"/>
              </w:rPr>
              <w:t>维修及维护服务</w:t>
            </w:r>
          </w:p>
        </w:tc>
        <w:tc>
          <w:tcPr>
            <w:tcW w:w="6095" w:type="dxa"/>
            <w:vAlign w:val="center"/>
          </w:tcPr>
          <w:p w14:paraId="7FE6CE1E">
            <w:pPr>
              <w:spacing w:line="360" w:lineRule="exact"/>
              <w:rPr>
                <w:rFonts w:ascii="宋体" w:hAnsi="宋体"/>
                <w:b/>
                <w:szCs w:val="21"/>
              </w:rPr>
            </w:pPr>
            <w:r>
              <w:rPr>
                <w:rFonts w:hint="eastAsia" w:ascii="宋体" w:hAnsi="宋体"/>
                <w:kern w:val="0"/>
                <w:szCs w:val="21"/>
              </w:rPr>
              <w:t>1.1各投标人应在投标文件中列明各主机、配件和易耗品的保修期限,并承诺提供整机免费保修期</w:t>
            </w:r>
            <w:r>
              <w:rPr>
                <w:rFonts w:hint="eastAsia" w:ascii="宋体" w:hAnsi="宋体"/>
                <w:bCs/>
                <w:kern w:val="0"/>
                <w:szCs w:val="21"/>
                <w:u w:val="single"/>
              </w:rPr>
              <w:t xml:space="preserve"> 两  </w:t>
            </w:r>
            <w:r>
              <w:rPr>
                <w:rFonts w:hint="eastAsia" w:ascii="宋体" w:hAnsi="宋体"/>
                <w:kern w:val="0"/>
                <w:szCs w:val="21"/>
              </w:rPr>
              <w:t>年</w:t>
            </w:r>
            <w:r>
              <w:rPr>
                <w:rFonts w:ascii="宋体" w:hAnsi="宋体"/>
                <w:kern w:val="0"/>
                <w:szCs w:val="21"/>
              </w:rPr>
              <w:t>,</w:t>
            </w:r>
            <w:r>
              <w:rPr>
                <w:rFonts w:hint="eastAsia" w:ascii="宋体" w:hAnsi="宋体"/>
                <w:kern w:val="0"/>
                <w:szCs w:val="21"/>
              </w:rPr>
              <w:t>终身维修。保修期内</w:t>
            </w:r>
            <w:r>
              <w:rPr>
                <w:rFonts w:ascii="宋体" w:hAnsi="宋体"/>
                <w:kern w:val="0"/>
                <w:szCs w:val="21"/>
              </w:rPr>
              <w:t>,</w:t>
            </w:r>
            <w:r>
              <w:rPr>
                <w:rFonts w:hint="eastAsia" w:ascii="宋体" w:hAnsi="宋体"/>
                <w:kern w:val="0"/>
                <w:szCs w:val="21"/>
              </w:rPr>
              <w:t>年度定期预防性维护保养次数应不少于</w:t>
            </w:r>
            <w:r>
              <w:rPr>
                <w:rFonts w:hint="eastAsia" w:ascii="宋体" w:hAnsi="宋体"/>
                <w:bCs/>
                <w:kern w:val="0"/>
                <w:szCs w:val="21"/>
                <w:u w:val="single"/>
              </w:rPr>
              <w:t xml:space="preserve">  2  </w:t>
            </w:r>
            <w:r>
              <w:rPr>
                <w:rFonts w:hint="eastAsia" w:ascii="宋体" w:hAnsi="宋体"/>
                <w:kern w:val="0"/>
                <w:szCs w:val="21"/>
              </w:rPr>
              <w:t>次。保修期内免费更换零配件、免工时费。</w:t>
            </w:r>
            <w:r>
              <w:rPr>
                <w:rFonts w:hint="eastAsia" w:ascii="宋体" w:hAnsi="宋体" w:cs="宋体"/>
                <w:kern w:val="0"/>
                <w:szCs w:val="21"/>
              </w:rPr>
              <w:t>设备在保修期内需由原厂进行维修，出原厂维修报告。</w:t>
            </w:r>
          </w:p>
        </w:tc>
      </w:tr>
      <w:tr w14:paraId="0ABD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6B8953E0">
            <w:pPr>
              <w:jc w:val="center"/>
              <w:rPr>
                <w:rFonts w:ascii="宋体" w:hAnsi="宋体"/>
                <w:b/>
                <w:szCs w:val="21"/>
              </w:rPr>
            </w:pPr>
          </w:p>
        </w:tc>
        <w:tc>
          <w:tcPr>
            <w:tcW w:w="1701" w:type="dxa"/>
            <w:vMerge w:val="continue"/>
            <w:vAlign w:val="center"/>
          </w:tcPr>
          <w:p w14:paraId="43B09489">
            <w:pPr>
              <w:rPr>
                <w:rFonts w:ascii="宋体" w:hAnsi="宋体"/>
                <w:b/>
                <w:kern w:val="0"/>
                <w:szCs w:val="21"/>
              </w:rPr>
            </w:pPr>
          </w:p>
        </w:tc>
        <w:tc>
          <w:tcPr>
            <w:tcW w:w="6095" w:type="dxa"/>
          </w:tcPr>
          <w:p w14:paraId="538A03F6">
            <w:pPr>
              <w:spacing w:before="100" w:line="360" w:lineRule="exact"/>
              <w:rPr>
                <w:rFonts w:ascii="宋体" w:hAnsi="宋体" w:cs="宋体"/>
                <w:bCs/>
                <w:szCs w:val="21"/>
              </w:rPr>
            </w:pPr>
            <w:r>
              <w:rPr>
                <w:rFonts w:hint="eastAsia" w:ascii="宋体" w:hAnsi="宋体" w:cs="宋体"/>
                <w:kern w:val="0"/>
                <w:szCs w:val="21"/>
              </w:rPr>
              <w:t>1.2由设备制造商提供售后服务，</w:t>
            </w:r>
            <w:r>
              <w:rPr>
                <w:rFonts w:ascii="宋体" w:hAnsi="宋体" w:cs="宋体"/>
                <w:bCs/>
                <w:kern w:val="0"/>
                <w:szCs w:val="21"/>
                <w:u w:val="single"/>
              </w:rPr>
              <w:t xml:space="preserve"> 1</w:t>
            </w:r>
            <w:r>
              <w:rPr>
                <w:rFonts w:hint="eastAsia" w:ascii="宋体" w:hAnsi="宋体" w:cs="宋体"/>
                <w:bCs/>
                <w:kern w:val="0"/>
                <w:szCs w:val="21"/>
                <w:u w:val="single"/>
              </w:rPr>
              <w:t xml:space="preserve">  </w:t>
            </w:r>
            <w:r>
              <w:rPr>
                <w:rFonts w:hint="eastAsia" w:ascii="宋体" w:hAnsi="宋体" w:cs="宋体"/>
                <w:kern w:val="0"/>
                <w:szCs w:val="21"/>
              </w:rPr>
              <w:t>小时内响应，</w:t>
            </w:r>
            <w:r>
              <w:rPr>
                <w:rFonts w:hint="eastAsia" w:ascii="宋体" w:hAnsi="宋体" w:cs="宋体"/>
                <w:bCs/>
                <w:kern w:val="0"/>
                <w:szCs w:val="21"/>
                <w:u w:val="single"/>
              </w:rPr>
              <w:t xml:space="preserve"> 24  </w:t>
            </w:r>
            <w:r>
              <w:rPr>
                <w:rFonts w:hint="eastAsia" w:ascii="宋体" w:hAnsi="宋体" w:cs="宋体"/>
                <w:kern w:val="0"/>
                <w:szCs w:val="21"/>
              </w:rPr>
              <w:t>小时维修到位（不可抗力情况除外）。</w:t>
            </w:r>
            <w:r>
              <w:rPr>
                <w:rFonts w:hint="eastAsia" w:ascii="宋体" w:hAnsi="宋体" w:cs="宋体"/>
                <w:szCs w:val="21"/>
              </w:rPr>
              <w:t>如不能修复：由公司售后服务部派人带故障机回公司检修处理，修复期间仪器有厂家安排使用。每两个月对仪器进行巡访，并对仪器进行维护和保养。LIS /HIS接入技术配合。</w:t>
            </w:r>
            <w:r>
              <w:rPr>
                <w:rFonts w:hint="eastAsia" w:ascii="宋体" w:hAnsi="宋体" w:cs="宋体"/>
                <w:kern w:val="0"/>
                <w:szCs w:val="21"/>
              </w:rPr>
              <w:t>消耗品和零配件供应及时，特殊情况下可提供备用机。广东省内有相应的维修机构，并出具证明文件。</w:t>
            </w:r>
          </w:p>
        </w:tc>
      </w:tr>
      <w:tr w14:paraId="6751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642B1B61">
            <w:pPr>
              <w:jc w:val="center"/>
              <w:rPr>
                <w:rFonts w:ascii="宋体" w:hAnsi="宋体"/>
                <w:b/>
                <w:szCs w:val="21"/>
              </w:rPr>
            </w:pPr>
          </w:p>
        </w:tc>
        <w:tc>
          <w:tcPr>
            <w:tcW w:w="1701" w:type="dxa"/>
            <w:vMerge w:val="continue"/>
            <w:vAlign w:val="center"/>
          </w:tcPr>
          <w:p w14:paraId="0AE22617">
            <w:pPr>
              <w:rPr>
                <w:rFonts w:ascii="宋体" w:hAnsi="宋体"/>
                <w:b/>
                <w:kern w:val="0"/>
                <w:szCs w:val="21"/>
              </w:rPr>
            </w:pPr>
          </w:p>
        </w:tc>
        <w:tc>
          <w:tcPr>
            <w:tcW w:w="6095" w:type="dxa"/>
          </w:tcPr>
          <w:p w14:paraId="00EAF4B6">
            <w:pPr>
              <w:spacing w:before="100" w:line="360" w:lineRule="exact"/>
              <w:rPr>
                <w:rFonts w:ascii="宋体" w:hAnsi="宋体" w:cs="宋体"/>
                <w:kern w:val="0"/>
                <w:szCs w:val="21"/>
              </w:rPr>
            </w:pPr>
            <w:r>
              <w:rPr>
                <w:rFonts w:hint="eastAsia" w:ascii="宋体" w:hAnsi="宋体" w:cs="宋体"/>
                <w:kern w:val="0"/>
                <w:szCs w:val="21"/>
              </w:rPr>
              <w:t>1.3投标人负责货物的终身维修，保证</w:t>
            </w:r>
            <w:r>
              <w:rPr>
                <w:rFonts w:hint="eastAsia" w:ascii="宋体" w:hAnsi="宋体" w:cs="宋体"/>
                <w:bCs/>
                <w:kern w:val="0"/>
                <w:szCs w:val="21"/>
                <w:u w:val="single"/>
              </w:rPr>
              <w:t xml:space="preserve">  10  </w:t>
            </w:r>
            <w:r>
              <w:rPr>
                <w:rFonts w:hint="eastAsia" w:ascii="宋体" w:hAnsi="宋体" w:cs="宋体"/>
                <w:kern w:val="0"/>
                <w:szCs w:val="21"/>
              </w:rPr>
              <w:t>年以上供应维修配件，如果因机器和配件停产造成设备无法维修者（维修周期同故障处理条款内容），必须无条件免费更换整机保证完好使用。</w:t>
            </w:r>
          </w:p>
          <w:p w14:paraId="63583356">
            <w:pPr>
              <w:spacing w:before="100" w:line="360" w:lineRule="exact"/>
              <w:rPr>
                <w:rFonts w:ascii="宋体" w:hAnsi="宋体" w:cs="宋体"/>
                <w:bCs/>
                <w:szCs w:val="21"/>
              </w:rPr>
            </w:pPr>
            <w:r>
              <w:rPr>
                <w:rFonts w:hint="eastAsia" w:ascii="宋体" w:hAnsi="宋体" w:cs="宋体"/>
                <w:bCs/>
                <w:kern w:val="0"/>
                <w:szCs w:val="21"/>
                <w:u w:val="single"/>
              </w:rPr>
              <w:t xml:space="preserve">  5  </w:t>
            </w:r>
            <w:r>
              <w:rPr>
                <w:rFonts w:hint="eastAsia" w:ascii="宋体" w:hAnsi="宋体" w:cs="宋体"/>
                <w:kern w:val="0"/>
                <w:szCs w:val="21"/>
              </w:rPr>
              <w:t>年内免费提供软件升级服务,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14:paraId="3DCC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14:paraId="3B4E21C7">
            <w:pPr>
              <w:jc w:val="center"/>
              <w:rPr>
                <w:rFonts w:ascii="宋体" w:hAnsi="宋体"/>
                <w:b/>
                <w:szCs w:val="21"/>
              </w:rPr>
            </w:pPr>
            <w:r>
              <w:rPr>
                <w:rFonts w:hint="eastAsia" w:ascii="宋体" w:hAnsi="宋体"/>
                <w:b/>
                <w:szCs w:val="21"/>
              </w:rPr>
              <w:t>2</w:t>
            </w:r>
          </w:p>
        </w:tc>
        <w:tc>
          <w:tcPr>
            <w:tcW w:w="1701" w:type="dxa"/>
            <w:vMerge w:val="restart"/>
            <w:vAlign w:val="center"/>
          </w:tcPr>
          <w:p w14:paraId="3997048B">
            <w:pPr>
              <w:jc w:val="center"/>
              <w:rPr>
                <w:rFonts w:ascii="宋体" w:hAnsi="宋体"/>
                <w:szCs w:val="21"/>
              </w:rPr>
            </w:pPr>
            <w:r>
              <w:rPr>
                <w:rFonts w:hint="eastAsia" w:ascii="宋体" w:hAnsi="宋体"/>
                <w:b/>
                <w:kern w:val="0"/>
                <w:szCs w:val="21"/>
              </w:rPr>
              <w:t>质量保证</w:t>
            </w:r>
          </w:p>
        </w:tc>
        <w:tc>
          <w:tcPr>
            <w:tcW w:w="6095" w:type="dxa"/>
          </w:tcPr>
          <w:p w14:paraId="1FC5EBD9">
            <w:pPr>
              <w:spacing w:line="360" w:lineRule="exact"/>
              <w:rPr>
                <w:rFonts w:ascii="宋体" w:hAnsi="宋体" w:cs="宋体"/>
                <w:kern w:val="0"/>
                <w:szCs w:val="21"/>
              </w:rPr>
            </w:pPr>
            <w:r>
              <w:rPr>
                <w:rFonts w:hint="eastAsia" w:ascii="宋体" w:hAnsi="宋体" w:cs="宋体"/>
                <w:kern w:val="0"/>
                <w:szCs w:val="21"/>
              </w:rPr>
              <w:t>2.1在保修期内, 投标人应确保年开机率在95%以上, 若不能达到此开机率，将作以下处理：a. 年开机率在90-95%之间按一赔</w:t>
            </w:r>
            <w:r>
              <w:rPr>
                <w:rFonts w:hint="eastAsia" w:ascii="宋体" w:hAnsi="宋体" w:cs="宋体"/>
                <w:kern w:val="0"/>
                <w:szCs w:val="21"/>
                <w:u w:val="single"/>
              </w:rPr>
              <w:t xml:space="preserve">       2  </w:t>
            </w:r>
            <w:r>
              <w:rPr>
                <w:rFonts w:hint="eastAsia" w:ascii="宋体" w:hAnsi="宋体" w:cs="宋体"/>
                <w:kern w:val="0"/>
                <w:szCs w:val="21"/>
              </w:rPr>
              <w:t>延长保修期；b. 年开机率在85-90%之间按一赔</w:t>
            </w:r>
            <w:r>
              <w:rPr>
                <w:rFonts w:hint="eastAsia" w:ascii="宋体" w:hAnsi="宋体" w:cs="宋体"/>
                <w:kern w:val="0"/>
                <w:szCs w:val="21"/>
                <w:u w:val="single"/>
              </w:rPr>
              <w:t xml:space="preserve"> 3</w:t>
            </w:r>
            <w:r>
              <w:rPr>
                <w:rFonts w:hint="eastAsia" w:ascii="宋体" w:hAnsi="宋体" w:cs="宋体"/>
                <w:kern w:val="0"/>
                <w:szCs w:val="21"/>
              </w:rPr>
              <w:t>延长保修期；c. 年开机率低于85%，投标人必须无条件更换新机，并重新计算保修期，以及赔偿用户的直接经济损失和间接经济损失。注：年开机率=（365-停机天数）/365）</w:t>
            </w:r>
          </w:p>
        </w:tc>
      </w:tr>
      <w:tr w14:paraId="4FCC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56D8D0AB">
            <w:pPr>
              <w:jc w:val="center"/>
              <w:rPr>
                <w:rFonts w:ascii="宋体" w:hAnsi="宋体"/>
                <w:b/>
                <w:szCs w:val="21"/>
              </w:rPr>
            </w:pPr>
          </w:p>
        </w:tc>
        <w:tc>
          <w:tcPr>
            <w:tcW w:w="1701" w:type="dxa"/>
            <w:vMerge w:val="continue"/>
            <w:vAlign w:val="center"/>
          </w:tcPr>
          <w:p w14:paraId="227EB205">
            <w:pPr>
              <w:jc w:val="center"/>
              <w:rPr>
                <w:rFonts w:ascii="宋体" w:hAnsi="宋体"/>
                <w:b/>
                <w:kern w:val="0"/>
                <w:szCs w:val="21"/>
              </w:rPr>
            </w:pPr>
          </w:p>
        </w:tc>
        <w:tc>
          <w:tcPr>
            <w:tcW w:w="6095" w:type="dxa"/>
          </w:tcPr>
          <w:p w14:paraId="012E7240">
            <w:pPr>
              <w:tabs>
                <w:tab w:val="left" w:pos="1815"/>
              </w:tabs>
              <w:spacing w:line="360" w:lineRule="exact"/>
              <w:rPr>
                <w:rFonts w:ascii="宋体" w:hAnsi="宋体" w:cs="宋体"/>
                <w:kern w:val="0"/>
                <w:szCs w:val="21"/>
              </w:rPr>
            </w:pPr>
            <w:r>
              <w:rPr>
                <w:rFonts w:hint="eastAsia" w:ascii="宋体" w:hAnsi="宋体" w:cs="宋体"/>
                <w:kern w:val="0"/>
                <w:szCs w:val="21"/>
              </w:rPr>
              <w:t>2.2保修期到期前一个月内投标人需提供设备运行状态评估报告及过保后设备维护方案，保证提供有效的非现场技术支持服务和联系方式。</w:t>
            </w:r>
          </w:p>
        </w:tc>
      </w:tr>
      <w:tr w14:paraId="1209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7" w:type="dxa"/>
            <w:gridSpan w:val="3"/>
            <w:vAlign w:val="center"/>
          </w:tcPr>
          <w:p w14:paraId="6477F24E">
            <w:pPr>
              <w:rPr>
                <w:rFonts w:ascii="宋体" w:hAnsi="宋体"/>
                <w:b/>
                <w:szCs w:val="21"/>
              </w:rPr>
            </w:pPr>
            <w:r>
              <w:rPr>
                <w:rFonts w:hint="eastAsia" w:ascii="宋体" w:hAnsi="宋体"/>
                <w:b/>
                <w:szCs w:val="21"/>
              </w:rPr>
              <w:t>（二）免费保修期外售后服务要求</w:t>
            </w:r>
          </w:p>
        </w:tc>
      </w:tr>
      <w:tr w14:paraId="4439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14:paraId="531461D0">
            <w:pPr>
              <w:jc w:val="center"/>
              <w:rPr>
                <w:rFonts w:ascii="宋体" w:hAnsi="宋体"/>
                <w:b/>
                <w:szCs w:val="21"/>
              </w:rPr>
            </w:pPr>
            <w:r>
              <w:rPr>
                <w:rFonts w:hint="eastAsia" w:ascii="宋体" w:hAnsi="宋体"/>
                <w:b/>
                <w:szCs w:val="21"/>
              </w:rPr>
              <w:t>1</w:t>
            </w:r>
          </w:p>
        </w:tc>
        <w:tc>
          <w:tcPr>
            <w:tcW w:w="1701" w:type="dxa"/>
            <w:vMerge w:val="restart"/>
            <w:vAlign w:val="center"/>
          </w:tcPr>
          <w:p w14:paraId="36797261">
            <w:pPr>
              <w:jc w:val="center"/>
              <w:rPr>
                <w:rFonts w:ascii="宋体" w:hAnsi="宋体"/>
                <w:b/>
                <w:szCs w:val="21"/>
              </w:rPr>
            </w:pPr>
            <w:r>
              <w:rPr>
                <w:rFonts w:hint="eastAsia" w:ascii="宋体" w:hAnsi="宋体"/>
                <w:b/>
                <w:kern w:val="0"/>
                <w:szCs w:val="21"/>
              </w:rPr>
              <w:t>维修零配件、消耗品和延续保修合同的报价</w:t>
            </w:r>
          </w:p>
        </w:tc>
        <w:tc>
          <w:tcPr>
            <w:tcW w:w="6095" w:type="dxa"/>
          </w:tcPr>
          <w:p w14:paraId="015481C5">
            <w:pPr>
              <w:spacing w:line="360" w:lineRule="exact"/>
              <w:rPr>
                <w:rFonts w:ascii="宋体" w:hAnsi="宋体"/>
                <w:kern w:val="0"/>
                <w:szCs w:val="21"/>
              </w:rPr>
            </w:pPr>
            <w:r>
              <w:rPr>
                <w:rFonts w:hint="eastAsia" w:ascii="宋体" w:hAnsi="宋体"/>
                <w:kern w:val="0"/>
                <w:szCs w:val="21"/>
              </w:rPr>
              <w:t>1.1由设备制造商提供售后服务，</w:t>
            </w:r>
            <w:r>
              <w:rPr>
                <w:rFonts w:hint="eastAsia" w:ascii="宋体" w:hAnsi="宋体"/>
                <w:bCs/>
                <w:kern w:val="0"/>
                <w:szCs w:val="21"/>
                <w:u w:val="single"/>
              </w:rPr>
              <w:t xml:space="preserve"> 1 </w:t>
            </w:r>
            <w:r>
              <w:rPr>
                <w:rFonts w:hint="eastAsia" w:ascii="宋体" w:hAnsi="宋体"/>
                <w:kern w:val="0"/>
                <w:szCs w:val="21"/>
              </w:rPr>
              <w:t>小时内响应，</w:t>
            </w:r>
            <w:r>
              <w:rPr>
                <w:rFonts w:hint="eastAsia" w:ascii="宋体" w:hAnsi="宋体"/>
                <w:bCs/>
                <w:kern w:val="0"/>
                <w:szCs w:val="21"/>
                <w:u w:val="single"/>
              </w:rPr>
              <w:t xml:space="preserve">  24  </w:t>
            </w:r>
            <w:r>
              <w:rPr>
                <w:rFonts w:hint="eastAsia" w:ascii="宋体" w:hAnsi="宋体"/>
                <w:kern w:val="0"/>
                <w:szCs w:val="21"/>
              </w:rPr>
              <w:t>小时维修到位（不可抗力情况除外）。消耗品和零配件供应及时，特殊情况下可提供备用机。</w:t>
            </w:r>
          </w:p>
        </w:tc>
      </w:tr>
      <w:tr w14:paraId="6681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1BD577CB">
            <w:pPr>
              <w:jc w:val="center"/>
              <w:rPr>
                <w:rFonts w:ascii="宋体" w:hAnsi="宋体"/>
                <w:b/>
                <w:szCs w:val="21"/>
              </w:rPr>
            </w:pPr>
          </w:p>
        </w:tc>
        <w:tc>
          <w:tcPr>
            <w:tcW w:w="1701" w:type="dxa"/>
            <w:vMerge w:val="continue"/>
            <w:vAlign w:val="center"/>
          </w:tcPr>
          <w:p w14:paraId="081D8BF9">
            <w:pPr>
              <w:jc w:val="center"/>
              <w:rPr>
                <w:rFonts w:ascii="宋体" w:hAnsi="宋体"/>
                <w:b/>
                <w:kern w:val="0"/>
                <w:szCs w:val="21"/>
              </w:rPr>
            </w:pPr>
          </w:p>
        </w:tc>
        <w:tc>
          <w:tcPr>
            <w:tcW w:w="6095" w:type="dxa"/>
          </w:tcPr>
          <w:p w14:paraId="3D310AC3">
            <w:pPr>
              <w:spacing w:line="360" w:lineRule="exact"/>
              <w:rPr>
                <w:rFonts w:ascii="宋体" w:hAnsi="宋体"/>
                <w:kern w:val="0"/>
                <w:szCs w:val="21"/>
              </w:rPr>
            </w:pPr>
            <w:r>
              <w:rPr>
                <w:rFonts w:hint="eastAsia" w:ascii="宋体" w:hAnsi="宋体"/>
                <w:kern w:val="0"/>
                <w:szCs w:val="21"/>
              </w:rPr>
              <w:t>1.2保修期满后，投标人应以优惠价供应维修零配件、消耗品和延续保修合同。价格最高的前5项零配件、消耗品和延续保修合同的报价明细必须填写于《零配件、消耗品和延续保修合同报价明清单》中。</w:t>
            </w:r>
          </w:p>
        </w:tc>
      </w:tr>
      <w:tr w14:paraId="6A19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057103B0">
            <w:pPr>
              <w:jc w:val="center"/>
              <w:rPr>
                <w:rFonts w:ascii="宋体" w:hAnsi="宋体"/>
                <w:b/>
                <w:szCs w:val="21"/>
              </w:rPr>
            </w:pPr>
          </w:p>
        </w:tc>
        <w:tc>
          <w:tcPr>
            <w:tcW w:w="1701" w:type="dxa"/>
            <w:vMerge w:val="continue"/>
          </w:tcPr>
          <w:p w14:paraId="25FB8A79">
            <w:pPr>
              <w:rPr>
                <w:rFonts w:ascii="宋体" w:hAnsi="宋体"/>
                <w:b/>
                <w:szCs w:val="21"/>
              </w:rPr>
            </w:pPr>
          </w:p>
        </w:tc>
        <w:tc>
          <w:tcPr>
            <w:tcW w:w="6095" w:type="dxa"/>
          </w:tcPr>
          <w:p w14:paraId="5B8C9C58">
            <w:pPr>
              <w:spacing w:line="360" w:lineRule="exact"/>
              <w:rPr>
                <w:rFonts w:ascii="宋体" w:hAnsi="宋体"/>
                <w:kern w:val="0"/>
                <w:szCs w:val="21"/>
              </w:rPr>
            </w:pPr>
            <w:r>
              <w:rPr>
                <w:rFonts w:hint="eastAsia" w:ascii="宋体" w:hAnsi="宋体"/>
                <w:kern w:val="0"/>
                <w:szCs w:val="21"/>
              </w:rPr>
              <w:t>1.3采购人可与投标人就优惠价进行谈判，但优惠价不得高于投标人在投标文件的《零配件、消耗品和延续保修合同报价明清单》中承诺的维修零配件、消耗品和延续保修合同的报价。</w:t>
            </w:r>
          </w:p>
        </w:tc>
      </w:tr>
      <w:tr w14:paraId="7F55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7870555F">
            <w:pPr>
              <w:jc w:val="center"/>
              <w:rPr>
                <w:rFonts w:ascii="宋体" w:hAnsi="宋体"/>
                <w:b/>
                <w:szCs w:val="21"/>
              </w:rPr>
            </w:pPr>
          </w:p>
        </w:tc>
        <w:tc>
          <w:tcPr>
            <w:tcW w:w="1701" w:type="dxa"/>
            <w:vMerge w:val="continue"/>
          </w:tcPr>
          <w:p w14:paraId="07C5FE77">
            <w:pPr>
              <w:rPr>
                <w:rFonts w:ascii="宋体" w:hAnsi="宋体"/>
                <w:b/>
                <w:szCs w:val="21"/>
              </w:rPr>
            </w:pPr>
          </w:p>
        </w:tc>
        <w:tc>
          <w:tcPr>
            <w:tcW w:w="6095" w:type="dxa"/>
          </w:tcPr>
          <w:p w14:paraId="21841027">
            <w:pPr>
              <w:spacing w:line="360" w:lineRule="exact"/>
              <w:rPr>
                <w:rFonts w:ascii="宋体" w:hAnsi="宋体"/>
                <w:b/>
                <w:szCs w:val="21"/>
              </w:rPr>
            </w:pPr>
            <w:r>
              <w:rPr>
                <w:rFonts w:hint="eastAsia" w:ascii="宋体" w:hAnsi="宋体"/>
                <w:kern w:val="0"/>
                <w:szCs w:val="21"/>
              </w:rPr>
              <w:t>1.4设备制造商维修的货物经采购人验收合格，且设备制造商提供维修专用发票后，采购人支付维修费用。</w:t>
            </w:r>
          </w:p>
        </w:tc>
      </w:tr>
      <w:tr w14:paraId="4DEA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1CEACB1C">
            <w:pPr>
              <w:jc w:val="center"/>
              <w:rPr>
                <w:rFonts w:ascii="宋体" w:hAnsi="宋体"/>
                <w:b/>
                <w:szCs w:val="21"/>
              </w:rPr>
            </w:pPr>
          </w:p>
        </w:tc>
        <w:tc>
          <w:tcPr>
            <w:tcW w:w="1701" w:type="dxa"/>
            <w:vMerge w:val="continue"/>
          </w:tcPr>
          <w:p w14:paraId="26AC53C7">
            <w:pPr>
              <w:rPr>
                <w:rFonts w:ascii="宋体" w:hAnsi="宋体"/>
                <w:b/>
                <w:szCs w:val="21"/>
              </w:rPr>
            </w:pPr>
          </w:p>
        </w:tc>
        <w:tc>
          <w:tcPr>
            <w:tcW w:w="6095" w:type="dxa"/>
          </w:tcPr>
          <w:p w14:paraId="07F7B7B9">
            <w:pPr>
              <w:spacing w:line="360" w:lineRule="exact"/>
              <w:rPr>
                <w:rFonts w:ascii="宋体" w:hAnsi="宋体"/>
                <w:b/>
                <w:szCs w:val="21"/>
              </w:rPr>
            </w:pPr>
            <w:r>
              <w:rPr>
                <w:rFonts w:hint="eastAsia" w:ascii="宋体" w:hAnsi="宋体"/>
                <w:kern w:val="0"/>
                <w:szCs w:val="21"/>
              </w:rPr>
              <w:t>1.5投标人及设备制造商不得以任何理由不按时进行维修，不得要求采购人购买所谓“保修服务”（即：不论设备有无故障先买保修服务），不得在设备中嵌设任何不利于采购人使用与维修设备的障碍。</w:t>
            </w:r>
          </w:p>
        </w:tc>
      </w:tr>
      <w:tr w14:paraId="4DDD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7" w:type="dxa"/>
            <w:gridSpan w:val="3"/>
            <w:vAlign w:val="center"/>
          </w:tcPr>
          <w:p w14:paraId="4D474D76">
            <w:pPr>
              <w:rPr>
                <w:rFonts w:ascii="宋体" w:hAnsi="宋体"/>
                <w:b/>
                <w:szCs w:val="21"/>
              </w:rPr>
            </w:pPr>
            <w:r>
              <w:rPr>
                <w:rFonts w:hint="eastAsia" w:ascii="宋体" w:hAnsi="宋体"/>
                <w:b/>
                <w:szCs w:val="21"/>
              </w:rPr>
              <w:t>（三）其他商务要求</w:t>
            </w:r>
          </w:p>
        </w:tc>
      </w:tr>
      <w:tr w14:paraId="7816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14:paraId="14240704">
            <w:pPr>
              <w:jc w:val="center"/>
              <w:rPr>
                <w:rFonts w:ascii="宋体" w:hAnsi="宋体"/>
                <w:b/>
                <w:szCs w:val="21"/>
              </w:rPr>
            </w:pPr>
            <w:r>
              <w:rPr>
                <w:rFonts w:hint="eastAsia" w:ascii="宋体" w:hAnsi="宋体"/>
                <w:b/>
                <w:szCs w:val="21"/>
              </w:rPr>
              <w:t>1</w:t>
            </w:r>
          </w:p>
        </w:tc>
        <w:tc>
          <w:tcPr>
            <w:tcW w:w="1701" w:type="dxa"/>
            <w:vMerge w:val="restart"/>
            <w:vAlign w:val="center"/>
          </w:tcPr>
          <w:p w14:paraId="71E254C8">
            <w:pPr>
              <w:jc w:val="center"/>
              <w:rPr>
                <w:rFonts w:ascii="宋体" w:hAnsi="宋体"/>
                <w:szCs w:val="21"/>
              </w:rPr>
            </w:pPr>
            <w:r>
              <w:rPr>
                <w:rFonts w:hint="eastAsia" w:ascii="宋体" w:hAnsi="宋体"/>
                <w:b/>
                <w:szCs w:val="21"/>
              </w:rPr>
              <w:t>交货要求</w:t>
            </w:r>
          </w:p>
        </w:tc>
        <w:tc>
          <w:tcPr>
            <w:tcW w:w="6095" w:type="dxa"/>
          </w:tcPr>
          <w:p w14:paraId="5AB68CB6">
            <w:pPr>
              <w:spacing w:line="360" w:lineRule="exact"/>
              <w:rPr>
                <w:rFonts w:ascii="宋体" w:hAnsi="宋体" w:cs="宋体"/>
                <w:b/>
                <w:szCs w:val="21"/>
              </w:rPr>
            </w:pPr>
            <w:r>
              <w:rPr>
                <w:rFonts w:hint="eastAsia" w:ascii="宋体" w:hAnsi="宋体" w:cs="宋体"/>
                <w:bCs/>
                <w:szCs w:val="21"/>
              </w:rPr>
              <w:t>1.1</w:t>
            </w:r>
            <w:r>
              <w:rPr>
                <w:rFonts w:hint="eastAsia" w:ascii="宋体" w:hAnsi="宋体" w:cs="宋体"/>
                <w:bCs/>
                <w:kern w:val="0"/>
                <w:szCs w:val="21"/>
              </w:rPr>
              <w:t>投标人在签订合同之日起</w:t>
            </w:r>
            <w:r>
              <w:rPr>
                <w:rFonts w:hint="eastAsia" w:ascii="宋体" w:hAnsi="宋体" w:cs="宋体"/>
                <w:bCs/>
                <w:kern w:val="0"/>
                <w:szCs w:val="21"/>
                <w:u w:val="single"/>
              </w:rPr>
              <w:t xml:space="preserve">  30  </w:t>
            </w:r>
            <w:r>
              <w:rPr>
                <w:rFonts w:hint="eastAsia" w:ascii="宋体" w:hAnsi="宋体" w:cs="宋体"/>
                <w:bCs/>
                <w:kern w:val="0"/>
                <w:szCs w:val="21"/>
              </w:rPr>
              <w:t>天内交货。</w:t>
            </w:r>
          </w:p>
        </w:tc>
      </w:tr>
      <w:tr w14:paraId="705C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06CD572F">
            <w:pPr>
              <w:jc w:val="center"/>
              <w:rPr>
                <w:rFonts w:ascii="宋体" w:hAnsi="宋体"/>
                <w:b/>
                <w:szCs w:val="21"/>
              </w:rPr>
            </w:pPr>
          </w:p>
        </w:tc>
        <w:tc>
          <w:tcPr>
            <w:tcW w:w="1701" w:type="dxa"/>
            <w:vMerge w:val="continue"/>
            <w:vAlign w:val="center"/>
          </w:tcPr>
          <w:p w14:paraId="231370CA">
            <w:pPr>
              <w:jc w:val="center"/>
              <w:rPr>
                <w:rFonts w:ascii="宋体" w:hAnsi="宋体"/>
                <w:szCs w:val="21"/>
              </w:rPr>
            </w:pPr>
          </w:p>
        </w:tc>
        <w:tc>
          <w:tcPr>
            <w:tcW w:w="6095" w:type="dxa"/>
          </w:tcPr>
          <w:p w14:paraId="562F8123">
            <w:pPr>
              <w:spacing w:line="360" w:lineRule="exact"/>
              <w:rPr>
                <w:rFonts w:ascii="宋体" w:hAnsi="宋体" w:cs="宋体"/>
                <w:bCs/>
                <w:szCs w:val="21"/>
              </w:rPr>
            </w:pPr>
            <w:r>
              <w:rPr>
                <w:rFonts w:hint="eastAsia" w:ascii="宋体" w:hAnsi="宋体" w:cs="宋体"/>
                <w:bCs/>
                <w:szCs w:val="21"/>
              </w:rPr>
              <w:t>1.2投标人</w:t>
            </w:r>
            <w:r>
              <w:rPr>
                <w:rFonts w:hint="eastAsia" w:ascii="宋体" w:hAnsi="宋体" w:cs="宋体"/>
                <w:kern w:val="0"/>
                <w:szCs w:val="21"/>
              </w:rPr>
              <w:t>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14:paraId="13CE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2A5CFE05">
            <w:pPr>
              <w:jc w:val="center"/>
              <w:rPr>
                <w:rFonts w:ascii="宋体" w:hAnsi="宋体"/>
                <w:b/>
                <w:szCs w:val="21"/>
              </w:rPr>
            </w:pPr>
          </w:p>
        </w:tc>
        <w:tc>
          <w:tcPr>
            <w:tcW w:w="1701" w:type="dxa"/>
            <w:vMerge w:val="continue"/>
            <w:vAlign w:val="center"/>
          </w:tcPr>
          <w:p w14:paraId="560A6599">
            <w:pPr>
              <w:jc w:val="center"/>
              <w:rPr>
                <w:rFonts w:ascii="宋体" w:hAnsi="宋体"/>
                <w:szCs w:val="21"/>
              </w:rPr>
            </w:pPr>
          </w:p>
        </w:tc>
        <w:tc>
          <w:tcPr>
            <w:tcW w:w="6095" w:type="dxa"/>
          </w:tcPr>
          <w:p w14:paraId="0D7A2C85">
            <w:pPr>
              <w:spacing w:line="360" w:lineRule="exact"/>
              <w:rPr>
                <w:rFonts w:ascii="宋体" w:hAnsi="宋体" w:cs="宋体"/>
                <w:bCs/>
                <w:szCs w:val="21"/>
              </w:rPr>
            </w:pPr>
            <w:r>
              <w:rPr>
                <w:rFonts w:hint="eastAsia" w:ascii="宋体" w:hAnsi="宋体" w:cs="宋体"/>
                <w:spacing w:val="-3"/>
                <w:szCs w:val="21"/>
              </w:rPr>
              <w:t>1.3提供的货物必须为全新、经检验合格的产品。产品如需要计量检定的应提供相关计量检定部门出具的合法检定报告。其中，进口设备必须具有</w:t>
            </w:r>
            <w:r>
              <w:rPr>
                <w:rFonts w:hint="eastAsia" w:ascii="宋体" w:hAnsi="宋体" w:cs="宋体"/>
                <w:kern w:val="0"/>
                <w:szCs w:val="21"/>
              </w:rPr>
              <w:t>报关证明</w:t>
            </w:r>
            <w:r>
              <w:rPr>
                <w:rFonts w:hint="eastAsia" w:ascii="宋体" w:hAnsi="宋体" w:cs="宋体"/>
                <w:spacing w:val="-3"/>
                <w:szCs w:val="21"/>
              </w:rPr>
              <w:t>文件、</w:t>
            </w:r>
            <w:r>
              <w:rPr>
                <w:rFonts w:hint="eastAsia" w:ascii="宋体" w:hAnsi="宋体" w:cs="宋体"/>
                <w:kern w:val="0"/>
                <w:szCs w:val="21"/>
              </w:rPr>
              <w:t>原产地证明和</w:t>
            </w:r>
            <w:r>
              <w:rPr>
                <w:rFonts w:hint="eastAsia" w:ascii="宋体" w:hAnsi="宋体" w:cs="宋体"/>
                <w:spacing w:val="-3"/>
                <w:szCs w:val="21"/>
              </w:rPr>
              <w:t>商检合格证明文件。</w:t>
            </w:r>
          </w:p>
        </w:tc>
      </w:tr>
      <w:tr w14:paraId="2001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14:paraId="47B4D33A">
            <w:pPr>
              <w:jc w:val="center"/>
              <w:rPr>
                <w:rFonts w:ascii="宋体" w:hAnsi="宋体"/>
                <w:b/>
                <w:szCs w:val="21"/>
              </w:rPr>
            </w:pPr>
            <w:r>
              <w:rPr>
                <w:rFonts w:hint="eastAsia" w:ascii="宋体" w:hAnsi="宋体"/>
                <w:b/>
                <w:szCs w:val="21"/>
              </w:rPr>
              <w:t>2</w:t>
            </w:r>
          </w:p>
        </w:tc>
        <w:tc>
          <w:tcPr>
            <w:tcW w:w="1701" w:type="dxa"/>
            <w:vMerge w:val="restart"/>
            <w:vAlign w:val="center"/>
          </w:tcPr>
          <w:p w14:paraId="62AAEE67">
            <w:pPr>
              <w:jc w:val="center"/>
              <w:rPr>
                <w:rFonts w:ascii="宋体" w:hAnsi="宋体"/>
                <w:szCs w:val="21"/>
              </w:rPr>
            </w:pPr>
            <w:r>
              <w:rPr>
                <w:rFonts w:hint="eastAsia" w:ascii="宋体" w:hAnsi="宋体"/>
                <w:b/>
                <w:bCs/>
                <w:kern w:val="0"/>
                <w:szCs w:val="21"/>
              </w:rPr>
              <w:t>运输、安装和验收</w:t>
            </w:r>
          </w:p>
        </w:tc>
        <w:tc>
          <w:tcPr>
            <w:tcW w:w="6095" w:type="dxa"/>
          </w:tcPr>
          <w:p w14:paraId="372836A3">
            <w:pPr>
              <w:spacing w:line="360" w:lineRule="exact"/>
              <w:rPr>
                <w:rFonts w:ascii="宋体" w:hAnsi="宋体" w:cs="宋体"/>
                <w:bCs/>
                <w:szCs w:val="21"/>
              </w:rPr>
            </w:pPr>
            <w:r>
              <w:rPr>
                <w:rFonts w:hint="eastAsia" w:ascii="宋体" w:hAnsi="宋体" w:cs="宋体"/>
                <w:bCs/>
                <w:szCs w:val="21"/>
              </w:rPr>
              <w:t>2.1投标人</w:t>
            </w:r>
            <w:r>
              <w:rPr>
                <w:rFonts w:hint="eastAsia" w:ascii="宋体" w:hAnsi="宋体" w:cs="宋体"/>
                <w:bCs/>
                <w:kern w:val="0"/>
                <w:szCs w:val="21"/>
              </w:rPr>
              <w:t>负责将</w:t>
            </w:r>
            <w:r>
              <w:rPr>
                <w:rFonts w:hint="eastAsia" w:ascii="宋体" w:hAnsi="宋体" w:cs="宋体"/>
                <w:kern w:val="0"/>
                <w:szCs w:val="21"/>
              </w:rPr>
              <w:t>货物</w:t>
            </w:r>
            <w:r>
              <w:rPr>
                <w:rFonts w:hint="eastAsia" w:ascii="宋体" w:hAnsi="宋体" w:cs="宋体"/>
                <w:bCs/>
                <w:kern w:val="0"/>
                <w:szCs w:val="21"/>
              </w:rPr>
              <w:t>安全无损运抵采购人指定地点,并承担设备的包装、运输、保险、装卸、安装调试、培训、商检及计量检测、关税、增值税和进口代理等费用。</w:t>
            </w:r>
            <w:r>
              <w:rPr>
                <w:rFonts w:hint="eastAsia" w:ascii="宋体" w:hAnsi="宋体" w:cs="宋体"/>
                <w:kern w:val="0"/>
                <w:szCs w:val="21"/>
              </w:rPr>
              <w:t>机器安装调试完毕，医院正式投入使用1个月后，无故障方签署验收报告，保修期自签署验收报告之日起开始计算。</w:t>
            </w:r>
          </w:p>
        </w:tc>
      </w:tr>
      <w:tr w14:paraId="2E8F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1A758756">
            <w:pPr>
              <w:jc w:val="center"/>
              <w:rPr>
                <w:rFonts w:ascii="宋体" w:hAnsi="宋体"/>
                <w:b/>
                <w:szCs w:val="21"/>
              </w:rPr>
            </w:pPr>
          </w:p>
        </w:tc>
        <w:tc>
          <w:tcPr>
            <w:tcW w:w="1701" w:type="dxa"/>
            <w:vMerge w:val="continue"/>
          </w:tcPr>
          <w:p w14:paraId="59D5C7FE">
            <w:pPr>
              <w:rPr>
                <w:rFonts w:ascii="宋体" w:hAnsi="宋体"/>
                <w:b/>
                <w:szCs w:val="21"/>
              </w:rPr>
            </w:pPr>
          </w:p>
        </w:tc>
        <w:tc>
          <w:tcPr>
            <w:tcW w:w="6095" w:type="dxa"/>
          </w:tcPr>
          <w:p w14:paraId="60450E1A">
            <w:pPr>
              <w:tabs>
                <w:tab w:val="left" w:pos="1260"/>
              </w:tabs>
              <w:spacing w:line="360" w:lineRule="exact"/>
              <w:rPr>
                <w:rFonts w:ascii="宋体" w:hAnsi="宋体" w:cs="宋体"/>
                <w:bCs/>
                <w:szCs w:val="21"/>
              </w:rPr>
            </w:pPr>
            <w:r>
              <w:rPr>
                <w:rFonts w:hint="eastAsia" w:ascii="宋体" w:hAnsi="宋体" w:cs="宋体"/>
                <w:bCs/>
                <w:szCs w:val="21"/>
              </w:rPr>
              <w:t>2.2</w:t>
            </w:r>
            <w:r>
              <w:rPr>
                <w:rFonts w:hint="eastAsia" w:ascii="宋体" w:hAnsi="宋体" w:cs="宋体"/>
                <w:bCs/>
                <w:kern w:val="0"/>
                <w:szCs w:val="21"/>
              </w:rPr>
              <w:t>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bCs/>
                <w:kern w:val="0"/>
                <w:szCs w:val="21"/>
                <w:u w:val="single"/>
              </w:rPr>
              <w:t xml:space="preserve">  7  </w:t>
            </w:r>
            <w:r>
              <w:rPr>
                <w:rFonts w:hint="eastAsia" w:ascii="宋体" w:hAnsi="宋体" w:cs="宋体"/>
                <w:bCs/>
                <w:kern w:val="0"/>
                <w:szCs w:val="21"/>
              </w:rPr>
              <w:t>天内采取补足、更换或退货等措施,以满足规格的要求，由此发生的一切损失和费用由投标人承担。</w:t>
            </w:r>
          </w:p>
        </w:tc>
      </w:tr>
      <w:tr w14:paraId="54C4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600D1131">
            <w:pPr>
              <w:jc w:val="center"/>
              <w:rPr>
                <w:rFonts w:ascii="宋体" w:hAnsi="宋体"/>
                <w:b/>
                <w:szCs w:val="21"/>
              </w:rPr>
            </w:pPr>
          </w:p>
        </w:tc>
        <w:tc>
          <w:tcPr>
            <w:tcW w:w="1701" w:type="dxa"/>
            <w:vMerge w:val="continue"/>
          </w:tcPr>
          <w:p w14:paraId="39EF68B7">
            <w:pPr>
              <w:rPr>
                <w:rFonts w:ascii="宋体" w:hAnsi="宋体"/>
                <w:b/>
                <w:szCs w:val="21"/>
              </w:rPr>
            </w:pPr>
          </w:p>
        </w:tc>
        <w:tc>
          <w:tcPr>
            <w:tcW w:w="6095" w:type="dxa"/>
          </w:tcPr>
          <w:p w14:paraId="676BA5DF">
            <w:pPr>
              <w:tabs>
                <w:tab w:val="left" w:pos="1260"/>
              </w:tabs>
              <w:spacing w:line="360" w:lineRule="exact"/>
              <w:rPr>
                <w:rFonts w:ascii="宋体" w:hAnsi="宋体" w:cs="宋体"/>
                <w:bCs/>
                <w:szCs w:val="21"/>
              </w:rPr>
            </w:pPr>
            <w:r>
              <w:rPr>
                <w:rFonts w:hint="eastAsia" w:ascii="宋体" w:hAnsi="宋体" w:cs="宋体"/>
                <w:spacing w:val="-3"/>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bCs/>
                <w:kern w:val="0"/>
                <w:szCs w:val="21"/>
                <w:u w:val="single"/>
              </w:rPr>
              <w:t xml:space="preserve"> 7  </w:t>
            </w:r>
            <w:r>
              <w:rPr>
                <w:rFonts w:hint="eastAsia" w:ascii="宋体" w:hAnsi="宋体" w:cs="宋体"/>
                <w:spacing w:val="-3"/>
                <w:szCs w:val="21"/>
              </w:rPr>
              <w:t>天内安装调试完毕。</w:t>
            </w:r>
          </w:p>
        </w:tc>
      </w:tr>
      <w:tr w14:paraId="0431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7FEF3155">
            <w:pPr>
              <w:jc w:val="center"/>
              <w:rPr>
                <w:rFonts w:ascii="宋体" w:hAnsi="宋体"/>
                <w:b/>
                <w:szCs w:val="21"/>
              </w:rPr>
            </w:pPr>
          </w:p>
        </w:tc>
        <w:tc>
          <w:tcPr>
            <w:tcW w:w="1701" w:type="dxa"/>
            <w:vMerge w:val="continue"/>
          </w:tcPr>
          <w:p w14:paraId="21FD87C2">
            <w:pPr>
              <w:rPr>
                <w:rFonts w:ascii="宋体" w:hAnsi="宋体"/>
                <w:b/>
                <w:szCs w:val="21"/>
              </w:rPr>
            </w:pPr>
          </w:p>
        </w:tc>
        <w:tc>
          <w:tcPr>
            <w:tcW w:w="6095" w:type="dxa"/>
          </w:tcPr>
          <w:p w14:paraId="5EC541F7">
            <w:pPr>
              <w:tabs>
                <w:tab w:val="left" w:pos="1260"/>
              </w:tabs>
              <w:spacing w:line="360" w:lineRule="exact"/>
              <w:rPr>
                <w:rFonts w:ascii="宋体" w:hAnsi="宋体" w:cs="宋体"/>
                <w:bCs/>
                <w:szCs w:val="21"/>
              </w:rPr>
            </w:pPr>
            <w:r>
              <w:rPr>
                <w:rFonts w:hint="eastAsia" w:ascii="宋体" w:hAnsi="宋体" w:cs="宋体"/>
                <w:spacing w:val="-3"/>
                <w:szCs w:val="21"/>
              </w:rPr>
              <w:t>2.4由投标人代表和采购人组成验收小组对产品进行验收。验收标准按照国家规定标准执行。经检验设备正常运作后签署验收报告,产品保修期自验收合格之日起算。</w:t>
            </w:r>
          </w:p>
        </w:tc>
      </w:tr>
      <w:tr w14:paraId="2AF9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14:paraId="12A11892">
            <w:pPr>
              <w:jc w:val="center"/>
              <w:rPr>
                <w:rFonts w:ascii="宋体" w:hAnsi="宋体"/>
                <w:b/>
                <w:szCs w:val="21"/>
              </w:rPr>
            </w:pPr>
            <w:r>
              <w:rPr>
                <w:rFonts w:hint="eastAsia" w:ascii="宋体" w:hAnsi="宋体"/>
                <w:b/>
                <w:szCs w:val="21"/>
              </w:rPr>
              <w:t>3</w:t>
            </w:r>
          </w:p>
        </w:tc>
        <w:tc>
          <w:tcPr>
            <w:tcW w:w="1701" w:type="dxa"/>
            <w:vAlign w:val="center"/>
          </w:tcPr>
          <w:p w14:paraId="3FF417FA">
            <w:pPr>
              <w:jc w:val="center"/>
              <w:rPr>
                <w:rFonts w:ascii="宋体" w:hAnsi="宋体"/>
                <w:b/>
                <w:szCs w:val="21"/>
              </w:rPr>
            </w:pPr>
            <w:r>
              <w:rPr>
                <w:rFonts w:hint="eastAsia" w:ascii="宋体" w:hAnsi="宋体"/>
                <w:b/>
                <w:kern w:val="0"/>
                <w:szCs w:val="21"/>
              </w:rPr>
              <w:t>培训</w:t>
            </w:r>
          </w:p>
        </w:tc>
        <w:tc>
          <w:tcPr>
            <w:tcW w:w="6095" w:type="dxa"/>
          </w:tcPr>
          <w:p w14:paraId="0BEA5BF7">
            <w:pPr>
              <w:spacing w:line="360" w:lineRule="exact"/>
              <w:rPr>
                <w:rFonts w:ascii="宋体" w:hAnsi="宋体" w:cs="宋体"/>
                <w:bCs/>
                <w:kern w:val="0"/>
                <w:szCs w:val="21"/>
              </w:rPr>
            </w:pPr>
            <w:r>
              <w:rPr>
                <w:rFonts w:hint="eastAsia" w:ascii="宋体" w:hAnsi="宋体" w:cs="宋体"/>
                <w:bCs/>
                <w:kern w:val="0"/>
                <w:szCs w:val="21"/>
              </w:rPr>
              <w:t>3.1中标人应派专业技术人员免费对采购单位指定人员进行定期培训及指导，直至其完全掌握设备的基本故障处理技术。</w:t>
            </w:r>
          </w:p>
          <w:p w14:paraId="30F69A6D">
            <w:pPr>
              <w:spacing w:line="360" w:lineRule="exact"/>
              <w:rPr>
                <w:rFonts w:ascii="宋体" w:hAnsi="宋体" w:cs="宋体"/>
                <w:szCs w:val="21"/>
                <w:lang w:val="sv-SE"/>
              </w:rPr>
            </w:pPr>
            <w:r>
              <w:rPr>
                <w:rFonts w:hint="eastAsia" w:ascii="宋体" w:hAnsi="宋体" w:cs="宋体"/>
                <w:bCs/>
                <w:kern w:val="0"/>
                <w:szCs w:val="21"/>
              </w:rPr>
              <w:t>3.2 中标人应安排相关</w:t>
            </w:r>
            <w:r>
              <w:rPr>
                <w:rFonts w:hint="eastAsia" w:ascii="宋体" w:hAnsi="宋体" w:cs="宋体"/>
                <w:szCs w:val="21"/>
                <w:lang w:val="sv-SE"/>
              </w:rPr>
              <w:t>培训课程：包括理论授课和模拟操作，需要租用场地、设备等，培训对象仅限本院医护人员。</w:t>
            </w:r>
          </w:p>
          <w:p w14:paraId="33C0F07B">
            <w:pPr>
              <w:spacing w:line="360" w:lineRule="exact"/>
              <w:jc w:val="left"/>
              <w:rPr>
                <w:rFonts w:ascii="宋体" w:hAnsi="宋体" w:cs="宋体"/>
                <w:b/>
                <w:szCs w:val="21"/>
              </w:rPr>
            </w:pPr>
          </w:p>
        </w:tc>
      </w:tr>
      <w:tr w14:paraId="0084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14:paraId="3BE5AF78">
            <w:pPr>
              <w:jc w:val="center"/>
              <w:rPr>
                <w:rFonts w:ascii="宋体" w:hAnsi="宋体"/>
                <w:b/>
                <w:kern w:val="0"/>
                <w:szCs w:val="21"/>
              </w:rPr>
            </w:pPr>
            <w:r>
              <w:rPr>
                <w:rFonts w:hint="eastAsia" w:ascii="宋体" w:hAnsi="宋体"/>
                <w:b/>
                <w:kern w:val="0"/>
                <w:szCs w:val="21"/>
              </w:rPr>
              <w:t>4</w:t>
            </w:r>
          </w:p>
        </w:tc>
        <w:tc>
          <w:tcPr>
            <w:tcW w:w="1701" w:type="dxa"/>
            <w:vMerge w:val="restart"/>
            <w:vAlign w:val="center"/>
          </w:tcPr>
          <w:p w14:paraId="370D58F4">
            <w:pPr>
              <w:tabs>
                <w:tab w:val="left" w:pos="1260"/>
              </w:tabs>
              <w:jc w:val="center"/>
              <w:rPr>
                <w:rFonts w:ascii="宋体" w:hAnsi="宋体"/>
                <w:b/>
                <w:kern w:val="0"/>
                <w:szCs w:val="21"/>
              </w:rPr>
            </w:pPr>
            <w:r>
              <w:rPr>
                <w:rFonts w:hint="eastAsia" w:ascii="宋体" w:hAnsi="宋体"/>
                <w:b/>
                <w:kern w:val="0"/>
                <w:szCs w:val="21"/>
              </w:rPr>
              <w:t>知识产权</w:t>
            </w:r>
          </w:p>
        </w:tc>
        <w:tc>
          <w:tcPr>
            <w:tcW w:w="6095" w:type="dxa"/>
          </w:tcPr>
          <w:p w14:paraId="54B8B95F">
            <w:pPr>
              <w:tabs>
                <w:tab w:val="left" w:pos="1260"/>
              </w:tabs>
              <w:spacing w:line="360" w:lineRule="exact"/>
              <w:rPr>
                <w:rFonts w:ascii="宋体" w:hAnsi="宋体" w:cs="宋体"/>
                <w:kern w:val="0"/>
                <w:szCs w:val="21"/>
              </w:rPr>
            </w:pPr>
            <w:r>
              <w:rPr>
                <w:rFonts w:hint="eastAsia" w:ascii="宋体" w:hAnsi="宋体" w:cs="宋体"/>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1BA6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3DDDE3D7">
            <w:pPr>
              <w:jc w:val="center"/>
              <w:rPr>
                <w:rFonts w:ascii="宋体" w:hAnsi="宋体"/>
                <w:b/>
                <w:kern w:val="0"/>
                <w:szCs w:val="21"/>
              </w:rPr>
            </w:pPr>
          </w:p>
        </w:tc>
        <w:tc>
          <w:tcPr>
            <w:tcW w:w="1701" w:type="dxa"/>
            <w:vMerge w:val="continue"/>
            <w:vAlign w:val="center"/>
          </w:tcPr>
          <w:p w14:paraId="4EEB2CB2">
            <w:pPr>
              <w:jc w:val="center"/>
              <w:rPr>
                <w:rFonts w:ascii="宋体" w:hAnsi="宋体"/>
                <w:b/>
                <w:kern w:val="0"/>
                <w:szCs w:val="21"/>
              </w:rPr>
            </w:pPr>
          </w:p>
        </w:tc>
        <w:tc>
          <w:tcPr>
            <w:tcW w:w="6095" w:type="dxa"/>
          </w:tcPr>
          <w:p w14:paraId="2B4540AA">
            <w:pPr>
              <w:spacing w:line="360" w:lineRule="exact"/>
              <w:rPr>
                <w:rFonts w:ascii="宋体" w:hAnsi="宋体" w:cs="宋体"/>
                <w:kern w:val="0"/>
                <w:szCs w:val="21"/>
              </w:rPr>
            </w:pPr>
            <w:r>
              <w:rPr>
                <w:rFonts w:hint="eastAsia" w:ascii="宋体" w:hAnsi="宋体" w:cs="宋体"/>
                <w:kern w:val="0"/>
                <w:szCs w:val="21"/>
              </w:rPr>
              <w:t>4.2采购人购买产品后，有权对该产品与其他设备进行配套、整合或适当改进，而免受侵犯专利权的起诉。</w:t>
            </w:r>
          </w:p>
        </w:tc>
      </w:tr>
      <w:tr w14:paraId="3B4F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14:paraId="55C08C8B">
            <w:pPr>
              <w:jc w:val="center"/>
              <w:rPr>
                <w:rFonts w:ascii="宋体" w:hAnsi="宋体"/>
                <w:b/>
                <w:szCs w:val="21"/>
              </w:rPr>
            </w:pPr>
            <w:r>
              <w:rPr>
                <w:rFonts w:hint="eastAsia" w:ascii="宋体" w:hAnsi="宋体"/>
                <w:b/>
                <w:szCs w:val="21"/>
              </w:rPr>
              <w:t>5</w:t>
            </w:r>
          </w:p>
        </w:tc>
        <w:tc>
          <w:tcPr>
            <w:tcW w:w="1701" w:type="dxa"/>
            <w:vAlign w:val="center"/>
          </w:tcPr>
          <w:p w14:paraId="18D012B3">
            <w:pPr>
              <w:jc w:val="center"/>
              <w:rPr>
                <w:rFonts w:ascii="宋体" w:hAnsi="宋体"/>
                <w:b/>
                <w:bCs/>
                <w:kern w:val="0"/>
                <w:szCs w:val="21"/>
              </w:rPr>
            </w:pPr>
            <w:r>
              <w:rPr>
                <w:rFonts w:hint="eastAsia" w:ascii="宋体" w:hAnsi="宋体"/>
                <w:b/>
                <w:bCs/>
                <w:kern w:val="0"/>
                <w:szCs w:val="21"/>
              </w:rPr>
              <w:t>付款方式</w:t>
            </w:r>
          </w:p>
        </w:tc>
        <w:tc>
          <w:tcPr>
            <w:tcW w:w="6095" w:type="dxa"/>
            <w:vAlign w:val="center"/>
          </w:tcPr>
          <w:p w14:paraId="63E30761">
            <w:pPr>
              <w:tabs>
                <w:tab w:val="left" w:pos="1260"/>
              </w:tabs>
              <w:rPr>
                <w:rFonts w:ascii="宋体" w:hAnsi="宋体"/>
                <w:bCs/>
                <w:szCs w:val="21"/>
              </w:rPr>
            </w:pPr>
            <w:r>
              <w:rPr>
                <w:rFonts w:hint="eastAsia" w:ascii="宋体" w:hAnsi="宋体"/>
                <w:kern w:val="0"/>
                <w:szCs w:val="21"/>
              </w:rPr>
              <w:t>5.1货到指定地点、安装验收合格、提供全额发票并将5%质量保证金（现金）汇入需方指定账户后付100%货款。质保期满后并在无质量问题情况下且经需方确认后，由需方退还供方5％质量保证金。</w:t>
            </w:r>
          </w:p>
        </w:tc>
      </w:tr>
      <w:tr w14:paraId="3415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restart"/>
            <w:vAlign w:val="center"/>
          </w:tcPr>
          <w:p w14:paraId="115316A0">
            <w:pPr>
              <w:jc w:val="center"/>
              <w:rPr>
                <w:rFonts w:ascii="宋体" w:hAnsi="宋体"/>
                <w:b/>
                <w:szCs w:val="21"/>
              </w:rPr>
            </w:pPr>
            <w:r>
              <w:rPr>
                <w:rFonts w:hint="eastAsia" w:ascii="宋体" w:hAnsi="宋体"/>
                <w:b/>
                <w:szCs w:val="21"/>
              </w:rPr>
              <w:t>6</w:t>
            </w:r>
          </w:p>
        </w:tc>
        <w:tc>
          <w:tcPr>
            <w:tcW w:w="1701" w:type="dxa"/>
            <w:vMerge w:val="restart"/>
            <w:vAlign w:val="center"/>
          </w:tcPr>
          <w:p w14:paraId="73CC4135">
            <w:pPr>
              <w:tabs>
                <w:tab w:val="left" w:pos="1260"/>
              </w:tabs>
              <w:jc w:val="center"/>
              <w:rPr>
                <w:rFonts w:ascii="宋体" w:hAnsi="宋体"/>
                <w:b/>
                <w:kern w:val="0"/>
                <w:szCs w:val="21"/>
              </w:rPr>
            </w:pPr>
            <w:r>
              <w:rPr>
                <w:rFonts w:hint="eastAsia" w:ascii="宋体" w:hAnsi="宋体"/>
                <w:b/>
                <w:kern w:val="0"/>
                <w:szCs w:val="21"/>
              </w:rPr>
              <w:t>违约责任</w:t>
            </w:r>
          </w:p>
        </w:tc>
        <w:tc>
          <w:tcPr>
            <w:tcW w:w="6095" w:type="dxa"/>
          </w:tcPr>
          <w:p w14:paraId="3AA9E744">
            <w:pPr>
              <w:spacing w:line="360" w:lineRule="exact"/>
              <w:rPr>
                <w:rFonts w:ascii="宋体" w:hAnsi="宋体"/>
                <w:bCs/>
                <w:kern w:val="0"/>
                <w:szCs w:val="21"/>
              </w:rPr>
            </w:pPr>
            <w:r>
              <w:rPr>
                <w:rFonts w:hint="eastAsia" w:ascii="宋体" w:hAnsi="宋体"/>
                <w:bCs/>
                <w:kern w:val="0"/>
                <w:szCs w:val="21"/>
              </w:rPr>
              <w:t>6.1如投标人未按照投标文件中承诺的时间交货或提供服务，投标人应承担延期交货和延期服务的违约责任，并赔偿采购人因此造成的实际经济损失。实际经济损失超出履约保证金额，采购人有权终止合同。</w:t>
            </w:r>
          </w:p>
        </w:tc>
      </w:tr>
      <w:tr w14:paraId="6167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3108BF51">
            <w:pPr>
              <w:jc w:val="center"/>
              <w:rPr>
                <w:rFonts w:ascii="宋体" w:hAnsi="宋体"/>
                <w:b/>
                <w:szCs w:val="21"/>
              </w:rPr>
            </w:pPr>
          </w:p>
        </w:tc>
        <w:tc>
          <w:tcPr>
            <w:tcW w:w="1701" w:type="dxa"/>
            <w:vMerge w:val="continue"/>
            <w:vAlign w:val="center"/>
          </w:tcPr>
          <w:p w14:paraId="0A0ED294">
            <w:pPr>
              <w:jc w:val="center"/>
              <w:rPr>
                <w:rFonts w:ascii="宋体" w:hAnsi="宋体"/>
                <w:b/>
                <w:kern w:val="0"/>
                <w:szCs w:val="21"/>
              </w:rPr>
            </w:pPr>
          </w:p>
        </w:tc>
        <w:tc>
          <w:tcPr>
            <w:tcW w:w="6095" w:type="dxa"/>
          </w:tcPr>
          <w:p w14:paraId="4DE6C282">
            <w:pPr>
              <w:spacing w:line="360" w:lineRule="exact"/>
              <w:rPr>
                <w:rFonts w:ascii="宋体" w:hAnsi="宋体"/>
                <w:bCs/>
                <w:kern w:val="0"/>
                <w:szCs w:val="21"/>
              </w:rPr>
            </w:pPr>
            <w:r>
              <w:rPr>
                <w:rFonts w:hint="eastAsia" w:ascii="宋体" w:hAnsi="宋体"/>
                <w:bCs/>
                <w:kern w:val="0"/>
                <w:szCs w:val="21"/>
              </w:rPr>
              <w:t>6.2投标人所交设备的品种、型号、规格、质量、功能、技术参数等方面不能实质性满足招标文件要约的，采购人有权拒绝收货，投标人向采购人偿付项目采购金额千分之</w:t>
            </w:r>
            <w:r>
              <w:rPr>
                <w:rFonts w:hint="eastAsia" w:ascii="宋体" w:hAnsi="宋体"/>
                <w:bCs/>
                <w:kern w:val="0"/>
                <w:szCs w:val="21"/>
                <w:u w:val="single"/>
              </w:rPr>
              <w:t xml:space="preserve">  十</w:t>
            </w:r>
            <w:r>
              <w:rPr>
                <w:rFonts w:hint="eastAsia" w:ascii="宋体" w:hAnsi="宋体"/>
                <w:bCs/>
                <w:kern w:val="0"/>
                <w:szCs w:val="21"/>
              </w:rPr>
              <w:t>的违约金；造成严重后果的，根据《</w:t>
            </w:r>
            <w:r>
              <w:rPr>
                <w:rFonts w:ascii="宋体" w:hAnsi="宋体"/>
                <w:bCs/>
                <w:kern w:val="0"/>
                <w:szCs w:val="21"/>
              </w:rPr>
              <w:t>深圳经济特区政府采购条例</w:t>
            </w:r>
            <w:r>
              <w:rPr>
                <w:rFonts w:hint="eastAsia" w:ascii="宋体" w:hAnsi="宋体"/>
                <w:bCs/>
                <w:kern w:val="0"/>
                <w:szCs w:val="21"/>
              </w:rPr>
              <w:t>》第五十七条第（二）款规定，由主管部门对中标人进行处罚。</w:t>
            </w:r>
          </w:p>
        </w:tc>
      </w:tr>
      <w:tr w14:paraId="6D91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7FBBEF6E">
            <w:pPr>
              <w:jc w:val="center"/>
              <w:rPr>
                <w:rFonts w:ascii="宋体" w:hAnsi="宋体"/>
                <w:b/>
                <w:szCs w:val="21"/>
              </w:rPr>
            </w:pPr>
          </w:p>
        </w:tc>
        <w:tc>
          <w:tcPr>
            <w:tcW w:w="1701" w:type="dxa"/>
            <w:vMerge w:val="continue"/>
            <w:vAlign w:val="center"/>
          </w:tcPr>
          <w:p w14:paraId="5FCAFDBC">
            <w:pPr>
              <w:jc w:val="center"/>
              <w:rPr>
                <w:rFonts w:ascii="宋体" w:hAnsi="宋体"/>
                <w:b/>
                <w:kern w:val="0"/>
                <w:szCs w:val="21"/>
              </w:rPr>
            </w:pPr>
          </w:p>
        </w:tc>
        <w:tc>
          <w:tcPr>
            <w:tcW w:w="6095" w:type="dxa"/>
          </w:tcPr>
          <w:p w14:paraId="38C1FF4D">
            <w:pPr>
              <w:spacing w:line="360" w:lineRule="exact"/>
              <w:rPr>
                <w:rFonts w:ascii="宋体" w:hAnsi="宋体"/>
                <w:bCs/>
                <w:kern w:val="0"/>
                <w:szCs w:val="21"/>
              </w:rPr>
            </w:pPr>
            <w:r>
              <w:rPr>
                <w:rFonts w:hint="eastAsia" w:ascii="宋体" w:hAnsi="宋体"/>
                <w:bCs/>
                <w:kern w:val="0"/>
                <w:szCs w:val="21"/>
              </w:rPr>
              <w:t>6.3投标人不能交付设备的，投标人向采购人偿付项目采购金额千分之</w:t>
            </w:r>
            <w:r>
              <w:rPr>
                <w:rFonts w:hint="eastAsia" w:ascii="宋体" w:hAnsi="宋体"/>
                <w:bCs/>
                <w:kern w:val="0"/>
                <w:szCs w:val="21"/>
                <w:u w:val="single"/>
              </w:rPr>
              <w:t xml:space="preserve">  十  </w:t>
            </w:r>
            <w:r>
              <w:rPr>
                <w:rFonts w:hint="eastAsia" w:ascii="宋体" w:hAnsi="宋体"/>
                <w:bCs/>
                <w:kern w:val="0"/>
                <w:szCs w:val="21"/>
              </w:rPr>
              <w:t>的违约金；造成严重后果的，根据《</w:t>
            </w:r>
            <w:r>
              <w:rPr>
                <w:rFonts w:ascii="宋体" w:hAnsi="宋体"/>
                <w:bCs/>
                <w:kern w:val="0"/>
                <w:szCs w:val="21"/>
              </w:rPr>
              <w:t>深圳经济特区政府采购条例</w:t>
            </w:r>
            <w:r>
              <w:rPr>
                <w:rFonts w:hint="eastAsia" w:ascii="宋体" w:hAnsi="宋体"/>
                <w:bCs/>
                <w:kern w:val="0"/>
                <w:szCs w:val="21"/>
              </w:rPr>
              <w:t>》第五十七条第（二）款规定，由主管部门对中标人进行处罚。</w:t>
            </w:r>
          </w:p>
        </w:tc>
      </w:tr>
      <w:tr w14:paraId="49B9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1B9F183C">
            <w:pPr>
              <w:jc w:val="center"/>
              <w:rPr>
                <w:rFonts w:ascii="宋体" w:hAnsi="宋体"/>
                <w:b/>
                <w:szCs w:val="21"/>
              </w:rPr>
            </w:pPr>
          </w:p>
        </w:tc>
        <w:tc>
          <w:tcPr>
            <w:tcW w:w="1701" w:type="dxa"/>
            <w:vMerge w:val="continue"/>
            <w:vAlign w:val="center"/>
          </w:tcPr>
          <w:p w14:paraId="15E6DCAD">
            <w:pPr>
              <w:jc w:val="center"/>
              <w:rPr>
                <w:rFonts w:ascii="宋体" w:hAnsi="宋体"/>
                <w:b/>
                <w:kern w:val="0"/>
                <w:szCs w:val="21"/>
              </w:rPr>
            </w:pPr>
          </w:p>
        </w:tc>
        <w:tc>
          <w:tcPr>
            <w:tcW w:w="6095" w:type="dxa"/>
          </w:tcPr>
          <w:p w14:paraId="4C2DFC81">
            <w:pPr>
              <w:spacing w:line="360" w:lineRule="exact"/>
              <w:rPr>
                <w:rFonts w:ascii="宋体" w:hAnsi="宋体"/>
                <w:bCs/>
                <w:kern w:val="0"/>
                <w:szCs w:val="21"/>
              </w:rPr>
            </w:pPr>
            <w:r>
              <w:rPr>
                <w:rFonts w:hint="eastAsia" w:ascii="宋体" w:hAnsi="宋体"/>
                <w:bCs/>
                <w:kern w:val="0"/>
                <w:szCs w:val="21"/>
              </w:rPr>
              <w:t>6.4投标人逾期未交设备的，投标人向采购人每日偿付设备款千分之</w:t>
            </w:r>
            <w:r>
              <w:rPr>
                <w:rFonts w:hint="eastAsia" w:ascii="宋体" w:hAnsi="宋体"/>
                <w:bCs/>
                <w:kern w:val="0"/>
                <w:szCs w:val="21"/>
                <w:u w:val="single"/>
              </w:rPr>
              <w:t xml:space="preserve"> 十  </w:t>
            </w:r>
            <w:r>
              <w:rPr>
                <w:rFonts w:hint="eastAsia" w:ascii="宋体" w:hAnsi="宋体"/>
                <w:bCs/>
                <w:kern w:val="0"/>
                <w:szCs w:val="21"/>
              </w:rPr>
              <w:t>的违约金。投标人超过交货期限</w:t>
            </w:r>
            <w:r>
              <w:rPr>
                <w:rFonts w:hint="eastAsia" w:ascii="宋体" w:hAnsi="宋体"/>
                <w:bCs/>
                <w:kern w:val="0"/>
                <w:szCs w:val="21"/>
                <w:u w:val="single"/>
              </w:rPr>
              <w:t xml:space="preserve">  30  </w:t>
            </w:r>
            <w:r>
              <w:rPr>
                <w:rFonts w:hint="eastAsia" w:ascii="宋体" w:hAnsi="宋体"/>
                <w:bCs/>
                <w:kern w:val="0"/>
                <w:szCs w:val="21"/>
              </w:rPr>
              <w:t>日仍未交货，采购人有权解除合同。</w:t>
            </w:r>
          </w:p>
        </w:tc>
      </w:tr>
      <w:tr w14:paraId="6616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0CCC0C9B">
            <w:pPr>
              <w:jc w:val="center"/>
              <w:rPr>
                <w:rFonts w:ascii="宋体" w:hAnsi="宋体"/>
                <w:b/>
                <w:szCs w:val="21"/>
              </w:rPr>
            </w:pPr>
          </w:p>
        </w:tc>
        <w:tc>
          <w:tcPr>
            <w:tcW w:w="1701" w:type="dxa"/>
            <w:vMerge w:val="continue"/>
            <w:vAlign w:val="center"/>
          </w:tcPr>
          <w:p w14:paraId="468941EA">
            <w:pPr>
              <w:jc w:val="center"/>
              <w:rPr>
                <w:rFonts w:ascii="宋体" w:hAnsi="宋体"/>
                <w:b/>
                <w:kern w:val="0"/>
                <w:szCs w:val="21"/>
              </w:rPr>
            </w:pPr>
          </w:p>
        </w:tc>
        <w:tc>
          <w:tcPr>
            <w:tcW w:w="6095" w:type="dxa"/>
            <w:vAlign w:val="center"/>
          </w:tcPr>
          <w:p w14:paraId="4DD167F5">
            <w:pPr>
              <w:rPr>
                <w:rFonts w:ascii="宋体" w:hAnsi="宋体"/>
                <w:bCs/>
                <w:kern w:val="0"/>
                <w:szCs w:val="21"/>
              </w:rPr>
            </w:pPr>
            <w:r>
              <w:rPr>
                <w:rFonts w:hint="eastAsia" w:ascii="宋体" w:hAnsi="宋体"/>
                <w:bCs/>
                <w:kern w:val="0"/>
                <w:szCs w:val="21"/>
              </w:rPr>
              <w:t>6.5违约金先从由投标人履约保证金中扣除，若有不足部分则由中标人补齐。</w:t>
            </w:r>
          </w:p>
        </w:tc>
      </w:tr>
      <w:tr w14:paraId="2274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14:paraId="732485DE">
            <w:pPr>
              <w:jc w:val="center"/>
              <w:rPr>
                <w:rFonts w:ascii="宋体" w:hAnsi="宋体"/>
                <w:b/>
                <w:szCs w:val="21"/>
              </w:rPr>
            </w:pPr>
            <w:r>
              <w:rPr>
                <w:rFonts w:hint="eastAsia" w:ascii="宋体" w:hAnsi="宋体"/>
                <w:b/>
                <w:szCs w:val="21"/>
              </w:rPr>
              <w:t>7</w:t>
            </w:r>
          </w:p>
        </w:tc>
        <w:tc>
          <w:tcPr>
            <w:tcW w:w="1701" w:type="dxa"/>
            <w:vAlign w:val="center"/>
          </w:tcPr>
          <w:p w14:paraId="159504D3">
            <w:pPr>
              <w:jc w:val="center"/>
              <w:rPr>
                <w:rFonts w:ascii="宋体" w:hAnsi="宋体"/>
                <w:b/>
                <w:kern w:val="0"/>
                <w:szCs w:val="21"/>
              </w:rPr>
            </w:pPr>
            <w:r>
              <w:rPr>
                <w:rFonts w:hint="eastAsia" w:ascii="宋体" w:hAnsi="宋体"/>
                <w:b/>
                <w:kern w:val="0"/>
                <w:szCs w:val="21"/>
              </w:rPr>
              <w:t>其他</w:t>
            </w:r>
          </w:p>
        </w:tc>
        <w:tc>
          <w:tcPr>
            <w:tcW w:w="6095" w:type="dxa"/>
            <w:vAlign w:val="center"/>
          </w:tcPr>
          <w:p w14:paraId="5203E0A5">
            <w:pPr>
              <w:rPr>
                <w:rFonts w:ascii="宋体" w:hAnsi="宋体"/>
                <w:b/>
                <w:szCs w:val="21"/>
              </w:rPr>
            </w:pPr>
            <w:r>
              <w:rPr>
                <w:rFonts w:hint="eastAsia" w:ascii="宋体" w:hAnsi="宋体"/>
                <w:bCs/>
                <w:szCs w:val="21"/>
              </w:rPr>
              <w:t>投标人应按其投标文件中的承诺，进行其他售后服务工作。</w:t>
            </w:r>
          </w:p>
        </w:tc>
      </w:tr>
      <w:tr w14:paraId="12FC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vAlign w:val="center"/>
          </w:tcPr>
          <w:p w14:paraId="3CCBDE4E">
            <w:pPr>
              <w:jc w:val="center"/>
              <w:rPr>
                <w:rFonts w:ascii="宋体" w:hAnsi="宋体"/>
                <w:b/>
                <w:szCs w:val="21"/>
              </w:rPr>
            </w:pPr>
            <w:r>
              <w:rPr>
                <w:rFonts w:hint="eastAsia" w:ascii="宋体" w:hAnsi="宋体"/>
                <w:b/>
                <w:bCs/>
                <w:szCs w:val="21"/>
              </w:rPr>
              <w:t>★</w:t>
            </w:r>
            <w:r>
              <w:rPr>
                <w:rFonts w:hint="eastAsia" w:ascii="宋体" w:hAnsi="宋体"/>
                <w:b/>
                <w:szCs w:val="21"/>
              </w:rPr>
              <w:t>8</w:t>
            </w:r>
          </w:p>
        </w:tc>
        <w:tc>
          <w:tcPr>
            <w:tcW w:w="1701" w:type="dxa"/>
            <w:vAlign w:val="center"/>
          </w:tcPr>
          <w:p w14:paraId="3AB64C71">
            <w:pPr>
              <w:jc w:val="center"/>
              <w:rPr>
                <w:rFonts w:ascii="宋体" w:hAnsi="宋体"/>
                <w:b/>
                <w:kern w:val="0"/>
                <w:szCs w:val="21"/>
              </w:rPr>
            </w:pPr>
            <w:r>
              <w:rPr>
                <w:rFonts w:hint="eastAsia" w:ascii="宋体" w:hAnsi="宋体"/>
                <w:b/>
                <w:kern w:val="0"/>
                <w:szCs w:val="21"/>
              </w:rPr>
              <w:t>项目(产品)要求</w:t>
            </w:r>
          </w:p>
        </w:tc>
        <w:tc>
          <w:tcPr>
            <w:tcW w:w="6095" w:type="dxa"/>
            <w:vAlign w:val="center"/>
          </w:tcPr>
          <w:p w14:paraId="75BE874C">
            <w:pPr>
              <w:rPr>
                <w:rFonts w:ascii="宋体" w:hAnsi="宋体"/>
                <w:bCs/>
                <w:szCs w:val="21"/>
              </w:rPr>
            </w:pPr>
            <w:r>
              <w:rPr>
                <w:rFonts w:hint="eastAsia" w:ascii="宋体" w:hAnsi="宋体"/>
                <w:bCs/>
                <w:szCs w:val="21"/>
              </w:rPr>
              <w:t>8.1提供所投产品</w:t>
            </w:r>
            <w:r>
              <w:rPr>
                <w:rFonts w:hint="eastAsia" w:ascii="宋体" w:hAnsi="宋体"/>
                <w:b/>
                <w:szCs w:val="21"/>
              </w:rPr>
              <w:t>（</w:t>
            </w:r>
            <w:r>
              <w:rPr>
                <w:rFonts w:hint="eastAsia" w:ascii="宋体" w:hAnsi="宋体"/>
                <w:b/>
                <w:bCs/>
                <w:szCs w:val="21"/>
                <w:u w:val="single"/>
              </w:rPr>
              <w:t>关节镜内窥镜</w:t>
            </w:r>
            <w:r>
              <w:rPr>
                <w:rFonts w:hint="eastAsia" w:ascii="宋体" w:hAnsi="宋体"/>
                <w:b/>
                <w:szCs w:val="21"/>
              </w:rPr>
              <w:t>）</w:t>
            </w:r>
            <w:r>
              <w:rPr>
                <w:rFonts w:hint="eastAsia" w:ascii="宋体" w:hAnsi="宋体"/>
                <w:bCs/>
                <w:szCs w:val="21"/>
              </w:rPr>
              <w:t>的《医疗器械注册（备案）证》复印件加盖投标人公章，原件备查（注册证须含附件医疗器械产品注册登记表（如有的话）；开标时，该证应在有效期内；若不在有效期内，则需提供该证和所投产品在该证有效期内生产的药监局出具的证明文件）或在该证有效期内所投产品的进口报关单）。</w:t>
            </w:r>
          </w:p>
          <w:p w14:paraId="02BB564B">
            <w:pPr>
              <w:rPr>
                <w:rFonts w:ascii="宋体" w:hAnsi="宋体"/>
                <w:bCs/>
                <w:szCs w:val="21"/>
              </w:rPr>
            </w:pPr>
            <w:r>
              <w:rPr>
                <w:rFonts w:hint="eastAsia" w:ascii="宋体" w:hAnsi="宋体"/>
                <w:bCs/>
                <w:szCs w:val="21"/>
              </w:rPr>
              <w:t xml:space="preserve">8.2 </w:t>
            </w:r>
            <w:r>
              <w:rPr>
                <w:rFonts w:hint="eastAsia" w:ascii="宋体" w:hAnsi="宋体"/>
              </w:rPr>
              <w:t>投标人必须提供由设备制造商或授权的中国总代理签署的合法有效的保修、维修承诺函。</w:t>
            </w:r>
          </w:p>
        </w:tc>
      </w:tr>
    </w:tbl>
    <w:p w14:paraId="1A127AED">
      <w:pPr>
        <w:spacing w:line="340" w:lineRule="exact"/>
        <w:ind w:firstLine="420" w:firstLineChars="200"/>
        <w:rPr>
          <w:rFonts w:ascii="宋体" w:hAnsi="宋体"/>
          <w:szCs w:val="21"/>
        </w:rPr>
      </w:pPr>
    </w:p>
    <w:p w14:paraId="76FA5B80">
      <w:pPr>
        <w:jc w:val="center"/>
        <w:outlineLvl w:val="1"/>
        <w:rPr>
          <w:rFonts w:ascii="黑体" w:eastAsia="黑体"/>
          <w:caps/>
          <w:sz w:val="24"/>
          <w:szCs w:val="24"/>
        </w:rPr>
      </w:pPr>
      <w:bookmarkStart w:id="5" w:name="_Toc353262376"/>
      <w:bookmarkStart w:id="6" w:name="_Toc333420706"/>
      <w:r>
        <w:rPr>
          <w:rFonts w:hint="eastAsia" w:ascii="黑体" w:eastAsia="黑体"/>
          <w:caps/>
          <w:sz w:val="24"/>
          <w:szCs w:val="24"/>
        </w:rPr>
        <w:t>第五节  投标文件否决性条款摘要</w:t>
      </w:r>
      <w:bookmarkEnd w:id="5"/>
      <w:bookmarkEnd w:id="6"/>
    </w:p>
    <w:p w14:paraId="15DC0459">
      <w:pPr>
        <w:spacing w:line="360" w:lineRule="exact"/>
        <w:ind w:firstLine="422" w:firstLineChars="200"/>
        <w:rPr>
          <w:rFonts w:ascii="宋体" w:hAnsi="宋体"/>
          <w:b/>
          <w:szCs w:val="21"/>
        </w:rPr>
      </w:pPr>
      <w:r>
        <w:rPr>
          <w:rFonts w:ascii="宋体" w:hAnsi="宋体"/>
          <w:b/>
        </w:rPr>
        <w:t>1、</w:t>
      </w:r>
      <w:r>
        <w:rPr>
          <w:rFonts w:ascii="宋体" w:hAnsi="宋体"/>
          <w:b/>
          <w:szCs w:val="21"/>
        </w:rPr>
        <w:t>投标文件有下列情形之一的，不予受理：</w:t>
      </w:r>
    </w:p>
    <w:p w14:paraId="6D1B4596">
      <w:pPr>
        <w:spacing w:line="360" w:lineRule="exact"/>
        <w:ind w:firstLine="420" w:firstLineChars="200"/>
        <w:rPr>
          <w:rFonts w:ascii="宋体" w:hAnsi="宋体"/>
          <w:szCs w:val="21"/>
        </w:rPr>
      </w:pPr>
      <w:r>
        <w:rPr>
          <w:rFonts w:ascii="宋体" w:hAnsi="宋体"/>
        </w:rPr>
        <w:t xml:space="preserve">1.1  </w:t>
      </w:r>
      <w:r>
        <w:rPr>
          <w:rFonts w:ascii="宋体" w:hAnsi="宋体"/>
          <w:szCs w:val="21"/>
        </w:rPr>
        <w:t>在投标截止时间以后送达的，或者未送达指定地点的；</w:t>
      </w:r>
    </w:p>
    <w:p w14:paraId="53F5CA98">
      <w:pPr>
        <w:spacing w:line="360" w:lineRule="exact"/>
        <w:ind w:firstLine="420" w:firstLineChars="200"/>
        <w:rPr>
          <w:rFonts w:ascii="宋体" w:hAnsi="宋体"/>
        </w:rPr>
      </w:pPr>
      <w:r>
        <w:rPr>
          <w:rFonts w:ascii="宋体" w:hAnsi="宋体"/>
        </w:rPr>
        <w:t xml:space="preserve">1.2  </w:t>
      </w:r>
      <w:r>
        <w:rPr>
          <w:rFonts w:hint="eastAsia" w:ascii="宋体" w:hAnsi="宋体"/>
        </w:rPr>
        <w:t>投标文件未密封的；</w:t>
      </w:r>
    </w:p>
    <w:p w14:paraId="1C79BBE4">
      <w:pPr>
        <w:spacing w:line="360" w:lineRule="exact"/>
        <w:ind w:firstLine="420" w:firstLineChars="200"/>
        <w:rPr>
          <w:rFonts w:ascii="宋体" w:hAnsi="宋体"/>
          <w:b/>
          <w:szCs w:val="21"/>
        </w:rPr>
      </w:pPr>
      <w:r>
        <w:rPr>
          <w:rFonts w:hint="eastAsia" w:ascii="宋体" w:hAnsi="宋体"/>
        </w:rPr>
        <w:t xml:space="preserve">1.3  </w:t>
      </w:r>
      <w:r>
        <w:rPr>
          <w:rFonts w:ascii="宋体" w:hAnsi="宋体"/>
          <w:szCs w:val="21"/>
        </w:rPr>
        <w:t>投标人的名称与</w:t>
      </w:r>
      <w:bookmarkStart w:id="7" w:name="_Toc76871384"/>
      <w:r>
        <w:rPr>
          <w:rFonts w:ascii="宋体" w:hAnsi="宋体"/>
          <w:szCs w:val="21"/>
        </w:rPr>
        <w:t>购买招标文件时登记</w:t>
      </w:r>
      <w:bookmarkEnd w:id="7"/>
      <w:r>
        <w:rPr>
          <w:rFonts w:ascii="宋体" w:hAnsi="宋体"/>
          <w:szCs w:val="21"/>
        </w:rPr>
        <w:t>的不一致的。</w:t>
      </w:r>
    </w:p>
    <w:p w14:paraId="661A248D">
      <w:pPr>
        <w:spacing w:line="360" w:lineRule="exact"/>
        <w:ind w:firstLine="422" w:firstLineChars="200"/>
        <w:rPr>
          <w:rFonts w:ascii="宋体" w:hAnsi="宋体"/>
          <w:b/>
          <w:szCs w:val="21"/>
        </w:rPr>
      </w:pPr>
      <w:r>
        <w:rPr>
          <w:rFonts w:ascii="宋体" w:hAnsi="宋体"/>
          <w:b/>
        </w:rPr>
        <w:t>2</w:t>
      </w:r>
      <w:r>
        <w:rPr>
          <w:rFonts w:hint="eastAsia" w:ascii="宋体" w:hAnsi="宋体"/>
          <w:b/>
        </w:rPr>
        <w:t>、</w:t>
      </w:r>
      <w:r>
        <w:rPr>
          <w:rFonts w:ascii="宋体" w:hAnsi="宋体"/>
          <w:b/>
          <w:szCs w:val="21"/>
        </w:rPr>
        <w:t>投标文件有下列</w:t>
      </w:r>
      <w:r>
        <w:rPr>
          <w:rFonts w:hint="eastAsia" w:ascii="宋体" w:hAnsi="宋体"/>
          <w:b/>
          <w:szCs w:val="21"/>
        </w:rPr>
        <w:t>情形之一的，按无效标处理：</w:t>
      </w:r>
    </w:p>
    <w:p w14:paraId="35339051">
      <w:pPr>
        <w:spacing w:line="360" w:lineRule="exact"/>
        <w:ind w:firstLine="420" w:firstLineChars="200"/>
        <w:rPr>
          <w:rFonts w:ascii="宋体" w:hAnsi="宋体"/>
          <w:szCs w:val="21"/>
        </w:rPr>
      </w:pPr>
      <w:r>
        <w:rPr>
          <w:rFonts w:hint="eastAsia" w:ascii="宋体" w:hAnsi="宋体"/>
        </w:rPr>
        <w:t xml:space="preserve">2.1  </w:t>
      </w:r>
      <w:r>
        <w:rPr>
          <w:rFonts w:hint="eastAsia" w:ascii="宋体" w:hAnsi="宋体"/>
          <w:szCs w:val="21"/>
        </w:rPr>
        <w:t>投标人未按照招标文件的要求提供投标保证金的；</w:t>
      </w:r>
      <w:r>
        <w:rPr>
          <w:rFonts w:ascii="宋体" w:hAnsi="宋体"/>
          <w:szCs w:val="21"/>
        </w:rPr>
        <w:t xml:space="preserve"> </w:t>
      </w:r>
    </w:p>
    <w:p w14:paraId="6446225A">
      <w:pPr>
        <w:spacing w:line="360" w:lineRule="exact"/>
        <w:ind w:firstLine="420" w:firstLineChars="200"/>
        <w:rPr>
          <w:rFonts w:ascii="宋体" w:hAnsi="宋体"/>
          <w:szCs w:val="21"/>
        </w:rPr>
      </w:pPr>
      <w:r>
        <w:rPr>
          <w:rFonts w:hint="eastAsia" w:ascii="宋体" w:hAnsi="宋体"/>
          <w:szCs w:val="21"/>
        </w:rPr>
        <w:t>2.2  投标文件无法定代表人签字或盖章，或签字人无法定代表人有效授权委托书原件的；</w:t>
      </w:r>
    </w:p>
    <w:p w14:paraId="5A731C54">
      <w:pPr>
        <w:spacing w:line="360" w:lineRule="exact"/>
        <w:ind w:firstLine="420" w:firstLineChars="200"/>
        <w:rPr>
          <w:rFonts w:ascii="宋体" w:hAnsi="宋体"/>
          <w:szCs w:val="21"/>
        </w:rPr>
      </w:pPr>
      <w:r>
        <w:rPr>
          <w:rFonts w:hint="eastAsia" w:ascii="宋体" w:hAnsi="宋体"/>
          <w:szCs w:val="21"/>
        </w:rPr>
        <w:t>2.3  投标人资格条件不符合国家有关规定和招标文件要求；</w:t>
      </w:r>
    </w:p>
    <w:p w14:paraId="7A2E8EAA">
      <w:pPr>
        <w:spacing w:line="360" w:lineRule="exact"/>
        <w:ind w:firstLine="420" w:firstLineChars="200"/>
        <w:rPr>
          <w:rFonts w:ascii="宋体" w:hAnsi="宋体"/>
          <w:szCs w:val="21"/>
        </w:rPr>
      </w:pPr>
      <w:r>
        <w:rPr>
          <w:rFonts w:hint="eastAsia" w:ascii="宋体" w:hAnsi="宋体"/>
          <w:szCs w:val="21"/>
        </w:rPr>
        <w:t>2.4  投标总价或分项报价超过预算控制金额的；</w:t>
      </w:r>
      <w:r>
        <w:rPr>
          <w:rFonts w:ascii="宋体" w:hAnsi="宋体"/>
          <w:szCs w:val="21"/>
        </w:rPr>
        <w:t xml:space="preserve"> </w:t>
      </w:r>
    </w:p>
    <w:p w14:paraId="574A5943">
      <w:pPr>
        <w:spacing w:line="360" w:lineRule="exact"/>
        <w:ind w:firstLine="420" w:firstLineChars="200"/>
        <w:rPr>
          <w:rFonts w:ascii="宋体" w:hAnsi="宋体"/>
          <w:szCs w:val="21"/>
        </w:rPr>
      </w:pPr>
      <w:r>
        <w:rPr>
          <w:rFonts w:hint="eastAsia" w:ascii="宋体" w:hAnsi="宋体"/>
          <w:szCs w:val="21"/>
        </w:rPr>
        <w:t>2.5  开标一览表出现无报价或报价为零或有选择性报价的；</w:t>
      </w:r>
    </w:p>
    <w:p w14:paraId="180B4138">
      <w:pPr>
        <w:spacing w:line="360" w:lineRule="exact"/>
        <w:ind w:firstLine="420" w:firstLineChars="200"/>
        <w:rPr>
          <w:rFonts w:ascii="宋体" w:hAnsi="宋体"/>
          <w:szCs w:val="21"/>
        </w:rPr>
      </w:pPr>
      <w:r>
        <w:rPr>
          <w:rFonts w:hint="eastAsia" w:ascii="宋体" w:hAnsi="宋体"/>
          <w:szCs w:val="21"/>
        </w:rPr>
        <w:t xml:space="preserve">2.6  </w:t>
      </w:r>
      <w:r>
        <w:rPr>
          <w:rFonts w:hint="eastAsia" w:ascii="宋体" w:hAnsi="宋体"/>
          <w:spacing w:val="-2"/>
          <w:szCs w:val="21"/>
        </w:rPr>
        <w:t>投标人以他人的名义投标、串通投标、以行贿手段谋取中标或者以其他弄虚作假方式投标；</w:t>
      </w:r>
    </w:p>
    <w:p w14:paraId="156613EF">
      <w:pPr>
        <w:spacing w:line="360" w:lineRule="exact"/>
        <w:ind w:firstLine="420" w:firstLineChars="200"/>
        <w:rPr>
          <w:rFonts w:ascii="宋体" w:hAnsi="宋体"/>
          <w:szCs w:val="21"/>
        </w:rPr>
      </w:pPr>
      <w:r>
        <w:rPr>
          <w:rFonts w:hint="eastAsia" w:ascii="宋体" w:hAnsi="宋体"/>
          <w:szCs w:val="21"/>
        </w:rPr>
        <w:t xml:space="preserve">2.7  </w:t>
      </w:r>
      <w:r>
        <w:rPr>
          <w:rFonts w:hint="eastAsia" w:ascii="宋体" w:hAnsi="宋体"/>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szCs w:val="21"/>
        </w:rPr>
        <w:t>；</w:t>
      </w:r>
    </w:p>
    <w:p w14:paraId="5DB05041">
      <w:pPr>
        <w:spacing w:line="360" w:lineRule="exact"/>
        <w:ind w:firstLine="420" w:firstLineChars="200"/>
        <w:rPr>
          <w:rFonts w:ascii="宋体" w:hAnsi="宋体"/>
          <w:szCs w:val="21"/>
        </w:rPr>
      </w:pPr>
      <w:r>
        <w:rPr>
          <w:rFonts w:hint="eastAsia" w:ascii="宋体" w:hAnsi="宋体"/>
          <w:szCs w:val="21"/>
        </w:rPr>
        <w:t>2.8  投标人拒不按照要求对投标文件进行澄清、说明或者补正的；</w:t>
      </w:r>
    </w:p>
    <w:p w14:paraId="7598E34F">
      <w:pPr>
        <w:spacing w:line="360" w:lineRule="exact"/>
        <w:ind w:firstLine="420" w:firstLineChars="200"/>
        <w:rPr>
          <w:rFonts w:ascii="宋体" w:hAnsi="宋体"/>
          <w:szCs w:val="21"/>
        </w:rPr>
      </w:pPr>
      <w:r>
        <w:rPr>
          <w:rFonts w:hint="eastAsia" w:ascii="宋体" w:hAnsi="宋体"/>
          <w:szCs w:val="21"/>
        </w:rPr>
        <w:t>2.9  文件的关键内容字迹模糊、无法辨认的；</w:t>
      </w:r>
    </w:p>
    <w:p w14:paraId="14595919">
      <w:pPr>
        <w:spacing w:line="360" w:lineRule="exact"/>
        <w:ind w:firstLine="420" w:firstLineChars="200"/>
        <w:rPr>
          <w:rFonts w:ascii="宋体" w:hAnsi="宋体"/>
          <w:szCs w:val="21"/>
        </w:rPr>
      </w:pPr>
      <w:r>
        <w:rPr>
          <w:rFonts w:hint="eastAsia" w:ascii="宋体" w:hAnsi="宋体"/>
          <w:szCs w:val="21"/>
        </w:rPr>
        <w:t>2.10  投标函未按规定填写的；</w:t>
      </w:r>
    </w:p>
    <w:p w14:paraId="762E3064">
      <w:pPr>
        <w:spacing w:line="360" w:lineRule="exact"/>
        <w:ind w:firstLine="420" w:firstLineChars="200"/>
        <w:rPr>
          <w:rFonts w:ascii="宋体" w:hAnsi="宋体"/>
          <w:szCs w:val="21"/>
        </w:rPr>
      </w:pPr>
      <w:r>
        <w:rPr>
          <w:rFonts w:hint="eastAsia" w:ascii="宋体" w:hAnsi="宋体"/>
          <w:szCs w:val="21"/>
        </w:rPr>
        <w:t>2.11  投标有效期不足的；</w:t>
      </w:r>
    </w:p>
    <w:p w14:paraId="1C2F1606">
      <w:pPr>
        <w:spacing w:line="360" w:lineRule="exact"/>
        <w:ind w:firstLine="420" w:firstLineChars="200"/>
        <w:rPr>
          <w:rFonts w:ascii="宋体" w:hAnsi="宋体"/>
          <w:szCs w:val="21"/>
        </w:rPr>
      </w:pPr>
      <w:r>
        <w:rPr>
          <w:rFonts w:hint="eastAsia" w:ascii="宋体" w:hAnsi="宋体"/>
          <w:szCs w:val="21"/>
        </w:rPr>
        <w:t xml:space="preserve">2.12  </w:t>
      </w:r>
      <w:r>
        <w:rPr>
          <w:rFonts w:hint="eastAsia" w:ascii="宋体" w:hAnsi="宋体"/>
          <w:spacing w:val="-6"/>
          <w:szCs w:val="21"/>
        </w:rPr>
        <w:t>投标人的投标未能在实质上响应招标文件提出的所有实质性要求和条件（不可偏离条款）的；</w:t>
      </w:r>
    </w:p>
    <w:p w14:paraId="70F001EA">
      <w:pPr>
        <w:spacing w:line="360" w:lineRule="exact"/>
        <w:ind w:firstLine="420" w:firstLineChars="200"/>
        <w:rPr>
          <w:rFonts w:ascii="宋体" w:hAnsi="宋体"/>
          <w:szCs w:val="21"/>
        </w:rPr>
      </w:pPr>
      <w:r>
        <w:rPr>
          <w:rFonts w:hint="eastAsia" w:ascii="宋体" w:hAnsi="宋体"/>
          <w:szCs w:val="21"/>
        </w:rPr>
        <w:t xml:space="preserve">2.13  </w:t>
      </w:r>
      <w:r>
        <w:rPr>
          <w:rFonts w:ascii="宋体" w:hAnsi="宋体"/>
          <w:szCs w:val="21"/>
        </w:rPr>
        <w:t>投标报价有严重缺漏项目的</w:t>
      </w:r>
      <w:r>
        <w:rPr>
          <w:rFonts w:hint="eastAsia" w:ascii="宋体" w:hAnsi="宋体"/>
          <w:szCs w:val="21"/>
        </w:rPr>
        <w:t>；</w:t>
      </w:r>
    </w:p>
    <w:p w14:paraId="606C3E02">
      <w:pPr>
        <w:spacing w:line="360" w:lineRule="exact"/>
        <w:ind w:firstLine="420" w:firstLineChars="200"/>
        <w:rPr>
          <w:rFonts w:ascii="宋体" w:hAnsi="宋体"/>
          <w:szCs w:val="21"/>
        </w:rPr>
      </w:pPr>
      <w:r>
        <w:rPr>
          <w:rFonts w:hint="eastAsia" w:ascii="宋体" w:hAnsi="宋体"/>
          <w:szCs w:val="21"/>
        </w:rPr>
        <w:t>2.14  联合体投标未附联合体各方共同投标协议的；联合体成员</w:t>
      </w:r>
      <w:r>
        <w:rPr>
          <w:rFonts w:ascii="宋体" w:hAnsi="宋体"/>
          <w:szCs w:val="21"/>
        </w:rPr>
        <w:t>再以自己名义单独投标</w:t>
      </w:r>
      <w:r>
        <w:rPr>
          <w:rFonts w:hint="eastAsia" w:ascii="宋体" w:hAnsi="宋体"/>
          <w:szCs w:val="21"/>
        </w:rPr>
        <w:t>及</w:t>
      </w:r>
      <w:r>
        <w:rPr>
          <w:rFonts w:ascii="宋体" w:hAnsi="宋体"/>
          <w:szCs w:val="21"/>
        </w:rPr>
        <w:t>组成或参加其他联合体在同一项目中投标</w:t>
      </w:r>
      <w:r>
        <w:rPr>
          <w:rFonts w:hint="eastAsia" w:ascii="宋体" w:hAnsi="宋体"/>
          <w:szCs w:val="21"/>
        </w:rPr>
        <w:t>的；</w:t>
      </w:r>
    </w:p>
    <w:p w14:paraId="508CFF99">
      <w:pPr>
        <w:spacing w:line="360" w:lineRule="exact"/>
        <w:ind w:firstLine="420" w:firstLineChars="200"/>
        <w:rPr>
          <w:rFonts w:ascii="宋体" w:hAnsi="宋体"/>
          <w:szCs w:val="21"/>
        </w:rPr>
      </w:pPr>
      <w:r>
        <w:rPr>
          <w:rFonts w:hint="eastAsia" w:ascii="宋体" w:hAnsi="宋体"/>
          <w:szCs w:val="21"/>
        </w:rPr>
        <w:t xml:space="preserve">2.15  </w:t>
      </w:r>
      <w:r>
        <w:rPr>
          <w:rFonts w:ascii="宋体" w:hAnsi="宋体"/>
          <w:szCs w:val="21"/>
        </w:rPr>
        <w:t>投标人递交两份或多份内容不同</w:t>
      </w:r>
      <w:r>
        <w:rPr>
          <w:rFonts w:hint="eastAsia" w:ascii="宋体" w:hAnsi="宋体"/>
          <w:szCs w:val="21"/>
        </w:rPr>
        <w:t>投标方案（</w:t>
      </w:r>
      <w:r>
        <w:rPr>
          <w:rFonts w:ascii="宋体" w:hAnsi="宋体"/>
          <w:szCs w:val="21"/>
        </w:rPr>
        <w:t>招标文件规定提交备选投标方案的除外</w:t>
      </w:r>
      <w:r>
        <w:rPr>
          <w:rFonts w:hint="eastAsia" w:ascii="宋体" w:hAnsi="宋体"/>
          <w:szCs w:val="21"/>
        </w:rPr>
        <w:t>）</w:t>
      </w:r>
      <w:r>
        <w:rPr>
          <w:rFonts w:ascii="宋体" w:hAnsi="宋体"/>
          <w:szCs w:val="21"/>
        </w:rPr>
        <w:t>；</w:t>
      </w:r>
    </w:p>
    <w:p w14:paraId="112960D8">
      <w:pPr>
        <w:spacing w:line="360" w:lineRule="exact"/>
        <w:ind w:firstLine="420" w:firstLineChars="200"/>
        <w:rPr>
          <w:rFonts w:ascii="宋体" w:hAnsi="宋体"/>
          <w:szCs w:val="21"/>
        </w:rPr>
      </w:pPr>
      <w:r>
        <w:rPr>
          <w:rFonts w:hint="eastAsia" w:ascii="宋体" w:hAnsi="宋体"/>
          <w:szCs w:val="21"/>
        </w:rPr>
        <w:t>2.16  投标文件只对</w:t>
      </w:r>
      <w:r>
        <w:rPr>
          <w:rFonts w:ascii="宋体" w:hAnsi="宋体"/>
          <w:szCs w:val="21"/>
        </w:rPr>
        <w:t>同一</w:t>
      </w:r>
      <w:r>
        <w:rPr>
          <w:rFonts w:hint="eastAsia" w:ascii="宋体" w:hAnsi="宋体"/>
          <w:szCs w:val="21"/>
        </w:rPr>
        <w:t>项目</w:t>
      </w:r>
      <w:r>
        <w:rPr>
          <w:rFonts w:ascii="宋体" w:hAnsi="宋体"/>
          <w:szCs w:val="21"/>
        </w:rPr>
        <w:t>包中的</w:t>
      </w:r>
      <w:r>
        <w:rPr>
          <w:rFonts w:hint="eastAsia" w:ascii="宋体" w:hAnsi="宋体"/>
          <w:szCs w:val="21"/>
        </w:rPr>
        <w:t>部分</w:t>
      </w:r>
      <w:r>
        <w:rPr>
          <w:rFonts w:ascii="宋体" w:hAnsi="宋体"/>
          <w:szCs w:val="21"/>
        </w:rPr>
        <w:t>内容</w:t>
      </w:r>
      <w:r>
        <w:rPr>
          <w:rFonts w:hint="eastAsia" w:ascii="宋体" w:hAnsi="宋体"/>
          <w:szCs w:val="21"/>
        </w:rPr>
        <w:t>投标，或把</w:t>
      </w:r>
      <w:r>
        <w:rPr>
          <w:rFonts w:ascii="宋体" w:hAnsi="宋体"/>
          <w:szCs w:val="21"/>
        </w:rPr>
        <w:t>同一</w:t>
      </w:r>
      <w:r>
        <w:rPr>
          <w:rFonts w:hint="eastAsia" w:ascii="宋体" w:hAnsi="宋体"/>
          <w:szCs w:val="21"/>
        </w:rPr>
        <w:t>项目</w:t>
      </w:r>
      <w:r>
        <w:rPr>
          <w:rFonts w:ascii="宋体" w:hAnsi="宋体"/>
          <w:szCs w:val="21"/>
        </w:rPr>
        <w:t>包中</w:t>
      </w:r>
      <w:r>
        <w:rPr>
          <w:rFonts w:hint="eastAsia" w:ascii="宋体" w:hAnsi="宋体"/>
          <w:szCs w:val="21"/>
        </w:rPr>
        <w:t>的内容拆开的投标；</w:t>
      </w:r>
    </w:p>
    <w:p w14:paraId="62D055D4">
      <w:pPr>
        <w:spacing w:line="360" w:lineRule="exact"/>
        <w:ind w:firstLine="420" w:firstLineChars="200"/>
        <w:rPr>
          <w:rFonts w:ascii="宋体" w:hAnsi="宋体"/>
          <w:szCs w:val="21"/>
        </w:rPr>
      </w:pPr>
      <w:r>
        <w:rPr>
          <w:rFonts w:hint="eastAsia" w:ascii="宋体" w:hAnsi="宋体"/>
          <w:szCs w:val="21"/>
        </w:rPr>
        <w:t>2.17  评标委员会根据招标文件的规定对投标文件的计算错误进行修正，投标人不接受修正后的投标报价的；</w:t>
      </w:r>
    </w:p>
    <w:p w14:paraId="4797242C">
      <w:pPr>
        <w:spacing w:line="360" w:lineRule="exact"/>
        <w:ind w:firstLine="420" w:firstLineChars="200"/>
        <w:rPr>
          <w:rFonts w:ascii="宋体" w:hAnsi="宋体"/>
          <w:szCs w:val="21"/>
        </w:rPr>
      </w:pPr>
      <w:r>
        <w:rPr>
          <w:rFonts w:hint="eastAsia" w:ascii="宋体" w:hAnsi="宋体"/>
          <w:szCs w:val="21"/>
        </w:rPr>
        <w:t>2.18  投标文件符合法律、法规及</w:t>
      </w:r>
      <w:r>
        <w:rPr>
          <w:rFonts w:hint="eastAsia" w:ascii="宋体" w:hAnsi="宋体"/>
        </w:rPr>
        <w:t>招标文件中规定的其他否决因素的。</w:t>
      </w:r>
    </w:p>
    <w:p w14:paraId="1B229467">
      <w:pPr>
        <w:spacing w:line="340" w:lineRule="exact"/>
        <w:ind w:firstLine="422" w:firstLineChars="200"/>
        <w:rPr>
          <w:rFonts w:ascii="宋体" w:hAnsi="宋体"/>
          <w:b/>
          <w:bCs/>
          <w:szCs w:val="21"/>
        </w:rPr>
      </w:pPr>
    </w:p>
    <w:p w14:paraId="04F8037D">
      <w:pPr>
        <w:jc w:val="center"/>
        <w:outlineLvl w:val="1"/>
        <w:rPr>
          <w:rFonts w:ascii="黑体" w:hAnsi="宋体" w:eastAsia="黑体"/>
          <w:bCs/>
          <w:sz w:val="24"/>
          <w:szCs w:val="24"/>
        </w:rPr>
      </w:pPr>
      <w:bookmarkStart w:id="8" w:name="_Toc353262377"/>
      <w:r>
        <w:rPr>
          <w:rFonts w:hint="eastAsia" w:ascii="黑体" w:hAnsi="宋体" w:eastAsia="黑体"/>
          <w:bCs/>
          <w:sz w:val="24"/>
          <w:szCs w:val="24"/>
        </w:rPr>
        <w:t>第六节  评标方法及</w:t>
      </w:r>
      <w:r>
        <w:rPr>
          <w:rFonts w:hint="eastAsia" w:ascii="黑体" w:eastAsia="黑体"/>
          <w:caps/>
          <w:sz w:val="24"/>
          <w:szCs w:val="24"/>
        </w:rPr>
        <w:t>程序</w:t>
      </w:r>
      <w:bookmarkEnd w:id="8"/>
    </w:p>
    <w:p w14:paraId="34D2FAF5">
      <w:pPr>
        <w:spacing w:line="360" w:lineRule="exact"/>
        <w:ind w:firstLine="422" w:firstLineChars="200"/>
        <w:rPr>
          <w:rFonts w:ascii="宋体" w:hAnsi="宋体"/>
          <w:b/>
          <w:bCs/>
          <w:szCs w:val="21"/>
        </w:rPr>
      </w:pPr>
      <w:r>
        <w:rPr>
          <w:rFonts w:hint="eastAsia" w:ascii="宋体" w:hAnsi="宋体"/>
          <w:b/>
          <w:bCs/>
          <w:szCs w:val="21"/>
        </w:rPr>
        <w:t>一、本项目评标及定标方法</w:t>
      </w:r>
    </w:p>
    <w:tbl>
      <w:tblPr>
        <w:tblStyle w:val="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605"/>
        <w:gridCol w:w="6043"/>
      </w:tblGrid>
      <w:tr w14:paraId="53BC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426" w:type="pct"/>
            <w:vAlign w:val="center"/>
          </w:tcPr>
          <w:p w14:paraId="6C3D8E3C">
            <w:pPr>
              <w:jc w:val="center"/>
              <w:rPr>
                <w:rFonts w:ascii="宋体" w:hAnsi="宋体"/>
                <w:b/>
                <w:bCs/>
                <w:szCs w:val="21"/>
              </w:rPr>
            </w:pPr>
            <w:r>
              <w:rPr>
                <w:rFonts w:hint="eastAsia" w:ascii="宋体" w:hAnsi="宋体"/>
                <w:b/>
                <w:bCs/>
                <w:szCs w:val="21"/>
              </w:rPr>
              <w:t>序号</w:t>
            </w:r>
          </w:p>
        </w:tc>
        <w:tc>
          <w:tcPr>
            <w:tcW w:w="960" w:type="pct"/>
            <w:vAlign w:val="center"/>
          </w:tcPr>
          <w:p w14:paraId="6C5A5EB2">
            <w:pPr>
              <w:jc w:val="center"/>
              <w:rPr>
                <w:rFonts w:ascii="宋体" w:hAnsi="宋体"/>
                <w:b/>
                <w:bCs/>
                <w:szCs w:val="21"/>
              </w:rPr>
            </w:pPr>
            <w:r>
              <w:rPr>
                <w:rFonts w:hint="eastAsia" w:ascii="宋体" w:hAnsi="宋体"/>
                <w:b/>
                <w:bCs/>
                <w:szCs w:val="21"/>
              </w:rPr>
              <w:t>项目</w:t>
            </w:r>
          </w:p>
        </w:tc>
        <w:tc>
          <w:tcPr>
            <w:tcW w:w="3614" w:type="pct"/>
            <w:vAlign w:val="center"/>
          </w:tcPr>
          <w:p w14:paraId="32F81C81">
            <w:pPr>
              <w:jc w:val="center"/>
              <w:rPr>
                <w:rFonts w:ascii="宋体" w:hAnsi="宋体"/>
                <w:b/>
                <w:bCs/>
                <w:szCs w:val="21"/>
              </w:rPr>
            </w:pPr>
            <w:r>
              <w:rPr>
                <w:rFonts w:hint="eastAsia" w:ascii="宋体" w:hAnsi="宋体"/>
                <w:b/>
                <w:bCs/>
                <w:szCs w:val="21"/>
              </w:rPr>
              <w:t>内容</w:t>
            </w:r>
          </w:p>
        </w:tc>
      </w:tr>
      <w:tr w14:paraId="5D4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Align w:val="center"/>
          </w:tcPr>
          <w:p w14:paraId="2AEC9E1A">
            <w:pPr>
              <w:jc w:val="center"/>
              <w:rPr>
                <w:rFonts w:ascii="宋体" w:hAnsi="宋体"/>
                <w:bCs/>
                <w:szCs w:val="21"/>
              </w:rPr>
            </w:pPr>
            <w:r>
              <w:rPr>
                <w:rFonts w:hint="eastAsia" w:ascii="宋体" w:hAnsi="宋体"/>
                <w:bCs/>
                <w:szCs w:val="21"/>
              </w:rPr>
              <w:t>1</w:t>
            </w:r>
          </w:p>
        </w:tc>
        <w:tc>
          <w:tcPr>
            <w:tcW w:w="960" w:type="pct"/>
            <w:vAlign w:val="center"/>
          </w:tcPr>
          <w:p w14:paraId="0918F68F">
            <w:pPr>
              <w:rPr>
                <w:rFonts w:ascii="宋体" w:hAnsi="宋体"/>
                <w:bCs/>
                <w:szCs w:val="21"/>
              </w:rPr>
            </w:pPr>
            <w:r>
              <w:rPr>
                <w:rFonts w:hint="eastAsia" w:ascii="宋体" w:hAnsi="宋体"/>
                <w:bCs/>
                <w:szCs w:val="21"/>
              </w:rPr>
              <w:t>定标方式</w:t>
            </w:r>
          </w:p>
        </w:tc>
        <w:tc>
          <w:tcPr>
            <w:tcW w:w="3614" w:type="pct"/>
            <w:vAlign w:val="center"/>
          </w:tcPr>
          <w:p w14:paraId="3DECCAA5">
            <w:pPr>
              <w:rPr>
                <w:rFonts w:ascii="宋体" w:hAnsi="宋体"/>
                <w:b/>
                <w:bCs/>
                <w:szCs w:val="21"/>
              </w:rPr>
            </w:pPr>
            <w:r>
              <w:rPr>
                <w:rFonts w:hint="eastAsia" w:ascii="MS Mincho" w:hAnsi="MS Mincho" w:cs="MS Mincho"/>
                <w:snapToGrid w:val="0"/>
                <w:kern w:val="0"/>
                <w:szCs w:val="21"/>
              </w:rPr>
              <w:t xml:space="preserve">■ </w:t>
            </w:r>
            <w:r>
              <w:rPr>
                <w:rFonts w:hint="eastAsia" w:ascii="宋体" w:hAnsi="宋体"/>
                <w:szCs w:val="21"/>
              </w:rPr>
              <w:t xml:space="preserve">授权评标委员会确定中标单位   </w:t>
            </w:r>
            <w:r>
              <w:rPr>
                <w:rFonts w:hint="eastAsia" w:ascii="宋体" w:hAnsi="宋体"/>
                <w:snapToGrid w:val="0"/>
                <w:kern w:val="0"/>
                <w:szCs w:val="21"/>
              </w:rPr>
              <w:t xml:space="preserve">□ </w:t>
            </w:r>
            <w:r>
              <w:rPr>
                <w:rFonts w:hint="eastAsia"/>
              </w:rPr>
              <w:t>评标和定标分离</w:t>
            </w:r>
          </w:p>
        </w:tc>
      </w:tr>
      <w:tr w14:paraId="7B43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Align w:val="center"/>
          </w:tcPr>
          <w:p w14:paraId="6AE9D382">
            <w:pPr>
              <w:jc w:val="center"/>
              <w:rPr>
                <w:rFonts w:ascii="宋体" w:hAnsi="宋体"/>
                <w:bCs/>
                <w:szCs w:val="21"/>
              </w:rPr>
            </w:pPr>
            <w:r>
              <w:rPr>
                <w:rFonts w:hint="eastAsia" w:ascii="宋体" w:hAnsi="宋体"/>
                <w:bCs/>
                <w:szCs w:val="21"/>
              </w:rPr>
              <w:t>2</w:t>
            </w:r>
          </w:p>
        </w:tc>
        <w:tc>
          <w:tcPr>
            <w:tcW w:w="960" w:type="pct"/>
            <w:vAlign w:val="center"/>
          </w:tcPr>
          <w:p w14:paraId="079ED2E3">
            <w:pPr>
              <w:rPr>
                <w:rFonts w:ascii="宋体" w:hAnsi="宋体"/>
                <w:bCs/>
                <w:szCs w:val="21"/>
              </w:rPr>
            </w:pPr>
            <w:r>
              <w:rPr>
                <w:rFonts w:hint="eastAsia" w:ascii="宋体" w:hAnsi="宋体"/>
                <w:bCs/>
                <w:szCs w:val="21"/>
              </w:rPr>
              <w:t>评标方法</w:t>
            </w:r>
          </w:p>
        </w:tc>
        <w:tc>
          <w:tcPr>
            <w:tcW w:w="3614" w:type="pct"/>
            <w:vAlign w:val="center"/>
          </w:tcPr>
          <w:p w14:paraId="79B5A24A">
            <w:pPr>
              <w:rPr>
                <w:rFonts w:ascii="宋体" w:hAnsi="宋体"/>
                <w:b/>
                <w:bCs/>
                <w:szCs w:val="21"/>
              </w:rPr>
            </w:pPr>
            <w:r>
              <w:rPr>
                <w:rFonts w:hint="eastAsia" w:ascii="MS Mincho" w:hAnsi="MS Mincho" w:cs="MS Mincho"/>
                <w:snapToGrid w:val="0"/>
                <w:kern w:val="0"/>
                <w:szCs w:val="21"/>
              </w:rPr>
              <w:t xml:space="preserve">■ </w:t>
            </w:r>
            <w:r>
              <w:rPr>
                <w:rFonts w:hint="eastAsia" w:ascii="宋体" w:hAnsi="宋体"/>
                <w:szCs w:val="21"/>
              </w:rPr>
              <w:t xml:space="preserve">综合评分法    </w:t>
            </w:r>
            <w:r>
              <w:rPr>
                <w:rFonts w:hint="eastAsia" w:ascii="宋体" w:hAnsi="宋体"/>
                <w:snapToGrid w:val="0"/>
                <w:kern w:val="0"/>
                <w:szCs w:val="21"/>
              </w:rPr>
              <w:t xml:space="preserve">□ </w:t>
            </w:r>
            <w:r>
              <w:rPr>
                <w:rFonts w:hint="eastAsia" w:ascii="Calibri" w:hAnsi="Calibri"/>
                <w:szCs w:val="21"/>
              </w:rPr>
              <w:t>最低价法</w:t>
            </w:r>
            <w:r>
              <w:rPr>
                <w:rFonts w:ascii="Calibri" w:hAnsi="Calibri"/>
                <w:szCs w:val="21"/>
              </w:rPr>
              <w:t xml:space="preserve">  </w:t>
            </w:r>
            <w:r>
              <w:rPr>
                <w:rFonts w:hint="eastAsia" w:ascii="Calibri" w:hAnsi="Calibri"/>
                <w:szCs w:val="21"/>
              </w:rPr>
              <w:t xml:space="preserve">  </w:t>
            </w:r>
            <w:r>
              <w:rPr>
                <w:rFonts w:hint="eastAsia" w:ascii="宋体" w:hAnsi="宋体"/>
                <w:snapToGrid w:val="0"/>
                <w:kern w:val="0"/>
                <w:szCs w:val="21"/>
              </w:rPr>
              <w:t xml:space="preserve">□ </w:t>
            </w:r>
            <w:r>
              <w:rPr>
                <w:rFonts w:hint="eastAsia" w:ascii="宋体" w:hAnsi="宋体"/>
                <w:szCs w:val="21"/>
              </w:rPr>
              <w:t>定性评审法</w:t>
            </w:r>
          </w:p>
        </w:tc>
      </w:tr>
      <w:tr w14:paraId="0C4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Align w:val="center"/>
          </w:tcPr>
          <w:p w14:paraId="3FF3180D">
            <w:pPr>
              <w:jc w:val="center"/>
              <w:rPr>
                <w:rFonts w:ascii="宋体" w:hAnsi="宋体"/>
                <w:bCs/>
                <w:szCs w:val="21"/>
              </w:rPr>
            </w:pPr>
            <w:r>
              <w:rPr>
                <w:rFonts w:hint="eastAsia" w:ascii="宋体" w:hAnsi="宋体"/>
                <w:bCs/>
                <w:szCs w:val="21"/>
              </w:rPr>
              <w:t>3</w:t>
            </w:r>
          </w:p>
        </w:tc>
        <w:tc>
          <w:tcPr>
            <w:tcW w:w="960" w:type="pct"/>
            <w:vAlign w:val="center"/>
          </w:tcPr>
          <w:p w14:paraId="4730317C">
            <w:pPr>
              <w:rPr>
                <w:rFonts w:ascii="宋体" w:hAnsi="宋体"/>
                <w:bCs/>
                <w:szCs w:val="21"/>
              </w:rPr>
            </w:pPr>
            <w:r>
              <w:rPr>
                <w:rFonts w:hint="eastAsia" w:ascii="宋体" w:hAnsi="宋体"/>
                <w:bCs/>
                <w:szCs w:val="21"/>
              </w:rPr>
              <w:t>定标方法</w:t>
            </w:r>
          </w:p>
        </w:tc>
        <w:tc>
          <w:tcPr>
            <w:tcW w:w="3614" w:type="pct"/>
            <w:vAlign w:val="center"/>
          </w:tcPr>
          <w:p w14:paraId="7AD9DDC8">
            <w:pPr>
              <w:rPr>
                <w:rFonts w:ascii="宋体" w:hAnsi="宋体"/>
                <w:bCs/>
                <w:szCs w:val="21"/>
              </w:rPr>
            </w:pPr>
            <w:r>
              <w:rPr>
                <w:rFonts w:hint="eastAsia" w:ascii="宋体" w:hAnsi="宋体"/>
                <w:snapToGrid w:val="0"/>
                <w:kern w:val="0"/>
                <w:szCs w:val="21"/>
              </w:rPr>
              <w:t xml:space="preserve">□ </w:t>
            </w:r>
            <w:r>
              <w:rPr>
                <w:rFonts w:hint="eastAsia" w:ascii="宋体" w:hAnsi="宋体"/>
                <w:bCs/>
                <w:szCs w:val="21"/>
              </w:rPr>
              <w:t xml:space="preserve">自定法        </w:t>
            </w:r>
            <w:r>
              <w:rPr>
                <w:rFonts w:hint="eastAsia" w:ascii="宋体" w:hAnsi="宋体"/>
                <w:snapToGrid w:val="0"/>
                <w:kern w:val="0"/>
                <w:szCs w:val="21"/>
              </w:rPr>
              <w:t xml:space="preserve">□ </w:t>
            </w:r>
            <w:r>
              <w:rPr>
                <w:rFonts w:hint="eastAsia" w:ascii="宋体" w:hAnsi="宋体"/>
                <w:bCs/>
                <w:szCs w:val="21"/>
              </w:rPr>
              <w:t xml:space="preserve">抽签法      </w:t>
            </w:r>
            <w:r>
              <w:rPr>
                <w:rFonts w:hint="eastAsia" w:ascii="宋体" w:hAnsi="宋体"/>
                <w:snapToGrid w:val="0"/>
                <w:kern w:val="0"/>
                <w:szCs w:val="21"/>
              </w:rPr>
              <w:t xml:space="preserve">□ </w:t>
            </w:r>
            <w:r>
              <w:rPr>
                <w:rFonts w:hint="eastAsia" w:ascii="宋体" w:hAnsi="宋体"/>
                <w:bCs/>
                <w:szCs w:val="21"/>
              </w:rPr>
              <w:t>竞价法</w:t>
            </w:r>
          </w:p>
          <w:p w14:paraId="2AD2A0A2">
            <w:pPr>
              <w:rPr>
                <w:rFonts w:ascii="宋体" w:hAnsi="宋体"/>
                <w:b/>
                <w:bCs/>
                <w:szCs w:val="21"/>
              </w:rPr>
            </w:pPr>
            <w:r>
              <w:rPr>
                <w:rFonts w:hint="eastAsia" w:ascii="宋体" w:hAnsi="宋体"/>
                <w:b/>
                <w:bCs/>
                <w:szCs w:val="21"/>
              </w:rPr>
              <w:t>注：</w:t>
            </w:r>
            <w:r>
              <w:rPr>
                <w:rFonts w:hint="eastAsia" w:ascii="宋体" w:hAnsi="宋体"/>
                <w:bCs/>
                <w:szCs w:val="21"/>
              </w:rPr>
              <w:t>本选项仅在定标方式选择“</w:t>
            </w:r>
            <w:r>
              <w:rPr>
                <w:rFonts w:hint="eastAsia"/>
              </w:rPr>
              <w:t>评标和定标分离</w:t>
            </w:r>
            <w:r>
              <w:rPr>
                <w:rFonts w:hint="eastAsia" w:ascii="宋体" w:hAnsi="宋体"/>
                <w:bCs/>
                <w:szCs w:val="21"/>
              </w:rPr>
              <w:t>”时适用。</w:t>
            </w:r>
          </w:p>
        </w:tc>
      </w:tr>
      <w:tr w14:paraId="4F43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vAlign w:val="center"/>
          </w:tcPr>
          <w:p w14:paraId="399E5DEE">
            <w:pPr>
              <w:jc w:val="center"/>
              <w:rPr>
                <w:rFonts w:ascii="宋体" w:hAnsi="宋体"/>
                <w:bCs/>
                <w:szCs w:val="21"/>
              </w:rPr>
            </w:pPr>
            <w:r>
              <w:rPr>
                <w:rFonts w:hint="eastAsia" w:ascii="宋体" w:hAnsi="宋体"/>
                <w:bCs/>
                <w:szCs w:val="21"/>
              </w:rPr>
              <w:t>4</w:t>
            </w:r>
          </w:p>
        </w:tc>
        <w:tc>
          <w:tcPr>
            <w:tcW w:w="960" w:type="pct"/>
            <w:vAlign w:val="center"/>
          </w:tcPr>
          <w:p w14:paraId="3292B964">
            <w:pPr>
              <w:rPr>
                <w:rFonts w:ascii="宋体" w:hAnsi="宋体"/>
                <w:bCs/>
                <w:szCs w:val="21"/>
              </w:rPr>
            </w:pPr>
            <w:r>
              <w:rPr>
                <w:rFonts w:hint="eastAsia" w:ascii="宋体" w:hAnsi="宋体"/>
                <w:bCs/>
                <w:szCs w:val="21"/>
              </w:rPr>
              <w:t>价格评审优惠政策</w:t>
            </w:r>
          </w:p>
        </w:tc>
        <w:tc>
          <w:tcPr>
            <w:tcW w:w="3614" w:type="pct"/>
            <w:vAlign w:val="center"/>
          </w:tcPr>
          <w:p w14:paraId="53232B0E">
            <w:pPr>
              <w:rPr>
                <w:rFonts w:ascii="宋体" w:hAnsi="宋体"/>
                <w:b/>
                <w:bCs/>
                <w:szCs w:val="21"/>
              </w:rPr>
            </w:pPr>
            <w:r>
              <w:rPr>
                <w:rFonts w:hint="eastAsia" w:ascii="宋体" w:hAnsi="宋体"/>
              </w:rP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szCs w:val="21"/>
              </w:rPr>
              <w:t>中小企业声明函</w:t>
            </w:r>
            <w:r>
              <w:rPr>
                <w:rFonts w:hint="eastAsia" w:ascii="宋体" w:hAnsi="宋体"/>
              </w:rPr>
              <w:t>》、《残疾人福利性单位声明函》或省级以上监狱管理局、戒毒管理局（含新疆生产建设兵团）出具的属于监狱企业的证明文件的投标人，其投标报价扣除6%后参与评审（如接受联合体投标且联合体协议中明确约定小微企业的协议合同金额占到联合体协议总金额30%以上的，价格扣除比例为2%，联合体各方均为小微企业的，价格扣除比例为6%）。对于同时属于小微企业、监狱企业或残疾人福利性单位的，不重复进行投标报价扣除。</w:t>
            </w:r>
            <w:r>
              <w:rPr>
                <w:rFonts w:hint="eastAsia" w:ascii="宋体" w:hAnsi="宋体"/>
                <w:szCs w:val="21"/>
              </w:rPr>
              <w:t>（本条所涉企业均指国内企业）</w:t>
            </w:r>
          </w:p>
        </w:tc>
      </w:tr>
    </w:tbl>
    <w:p w14:paraId="71FB93ED">
      <w:pPr>
        <w:spacing w:line="360" w:lineRule="exact"/>
        <w:ind w:firstLine="422" w:firstLineChars="200"/>
        <w:rPr>
          <w:rFonts w:ascii="宋体" w:hAnsi="宋体"/>
          <w:b/>
          <w:bCs/>
          <w:szCs w:val="21"/>
        </w:rPr>
      </w:pPr>
      <w:r>
        <w:rPr>
          <w:rFonts w:hint="eastAsia" w:ascii="宋体" w:hAnsi="宋体"/>
          <w:b/>
          <w:bCs/>
          <w:szCs w:val="21"/>
        </w:rPr>
        <w:t>备注：</w:t>
      </w:r>
      <w:r>
        <w:rPr>
          <w:rFonts w:hint="eastAsia" w:ascii="宋体" w:hAnsi="宋体"/>
          <w:snapToGrid w:val="0"/>
          <w:kern w:val="0"/>
          <w:szCs w:val="21"/>
        </w:rPr>
        <w:t>用“</w:t>
      </w:r>
      <w:r>
        <w:rPr>
          <w:rFonts w:hint="eastAsia" w:ascii="MS Mincho" w:hAnsi="MS Mincho" w:cs="MS Mincho"/>
          <w:snapToGrid w:val="0"/>
          <w:kern w:val="0"/>
          <w:szCs w:val="21"/>
        </w:rPr>
        <w:t>■</w:t>
      </w:r>
      <w:r>
        <w:rPr>
          <w:rFonts w:hint="eastAsia" w:ascii="宋体" w:hAnsi="宋体"/>
          <w:snapToGrid w:val="0"/>
          <w:kern w:val="0"/>
          <w:szCs w:val="21"/>
        </w:rPr>
        <w:t>”标识时表明该选项被采购人选用，用“□”标识时表明该选项未被采购人选用。</w:t>
      </w:r>
    </w:p>
    <w:p w14:paraId="2FD955F7">
      <w:pPr>
        <w:spacing w:line="360" w:lineRule="exact"/>
        <w:ind w:firstLine="422" w:firstLineChars="200"/>
        <w:rPr>
          <w:rFonts w:ascii="宋体" w:hAnsi="宋体"/>
          <w:b/>
          <w:bCs/>
          <w:szCs w:val="21"/>
        </w:rPr>
      </w:pPr>
      <w:r>
        <w:rPr>
          <w:rFonts w:hint="eastAsia" w:ascii="宋体" w:hAnsi="宋体"/>
          <w:b/>
          <w:bCs/>
          <w:szCs w:val="21"/>
        </w:rPr>
        <w:t>二、本项目评标信息</w:t>
      </w:r>
    </w:p>
    <w:p w14:paraId="4A32C02E">
      <w:pPr>
        <w:spacing w:line="360" w:lineRule="exact"/>
        <w:ind w:firstLine="422" w:firstLineChars="200"/>
        <w:rPr>
          <w:rFonts w:ascii="宋体" w:hAnsi="宋体"/>
          <w:b/>
          <w:bCs/>
          <w:szCs w:val="21"/>
        </w:rPr>
      </w:pPr>
      <w:r>
        <w:rPr>
          <w:rFonts w:hint="eastAsia" w:ascii="宋体" w:hAnsi="宋体"/>
          <w:b/>
          <w:bCs/>
          <w:szCs w:val="21"/>
        </w:rPr>
        <w:t>1、</w:t>
      </w:r>
      <w:r>
        <w:rPr>
          <w:rFonts w:ascii="宋体" w:hAnsi="宋体"/>
          <w:b/>
          <w:bCs/>
          <w:szCs w:val="21"/>
        </w:rPr>
        <w:t>符合性检查表</w:t>
      </w:r>
    </w:p>
    <w:tbl>
      <w:tblPr>
        <w:tblStyle w:val="4"/>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160"/>
        <w:gridCol w:w="1401"/>
      </w:tblGrid>
      <w:tr w14:paraId="21EC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2E3C6EBA">
            <w:pPr>
              <w:jc w:val="center"/>
              <w:rPr>
                <w:rFonts w:ascii="宋体" w:hAnsi="宋体"/>
                <w:b/>
              </w:rPr>
            </w:pPr>
            <w:r>
              <w:rPr>
                <w:rFonts w:ascii="宋体" w:hAnsi="宋体"/>
                <w:b/>
              </w:rPr>
              <w:t>序号</w:t>
            </w:r>
          </w:p>
        </w:tc>
        <w:tc>
          <w:tcPr>
            <w:tcW w:w="3712" w:type="pct"/>
            <w:vAlign w:val="center"/>
          </w:tcPr>
          <w:p w14:paraId="2D659899">
            <w:pPr>
              <w:ind w:left="-828" w:firstLine="828"/>
              <w:jc w:val="center"/>
              <w:rPr>
                <w:rFonts w:ascii="宋体" w:hAnsi="宋体"/>
                <w:b/>
                <w:sz w:val="24"/>
              </w:rPr>
            </w:pPr>
            <w:r>
              <w:rPr>
                <w:rFonts w:ascii="宋体" w:hAnsi="宋体"/>
                <w:b/>
              </w:rPr>
              <w:t>评议内容</w:t>
            </w:r>
          </w:p>
        </w:tc>
        <w:tc>
          <w:tcPr>
            <w:tcW w:w="844" w:type="pct"/>
            <w:vAlign w:val="center"/>
          </w:tcPr>
          <w:p w14:paraId="637BFB54">
            <w:pPr>
              <w:ind w:left="44" w:hanging="44"/>
              <w:jc w:val="center"/>
              <w:rPr>
                <w:rFonts w:ascii="宋体" w:hAnsi="宋体"/>
                <w:b/>
                <w:sz w:val="24"/>
              </w:rPr>
            </w:pPr>
            <w:r>
              <w:rPr>
                <w:rFonts w:ascii="宋体" w:hAnsi="宋体"/>
                <w:b/>
              </w:rPr>
              <w:t>评议结果</w:t>
            </w:r>
          </w:p>
        </w:tc>
      </w:tr>
      <w:tr w14:paraId="4B80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261582FA">
            <w:pPr>
              <w:ind w:left="57"/>
              <w:jc w:val="center"/>
              <w:rPr>
                <w:rFonts w:ascii="宋体" w:hAnsi="宋体"/>
              </w:rPr>
            </w:pPr>
            <w:r>
              <w:rPr>
                <w:rFonts w:hint="eastAsia" w:ascii="宋体" w:hAnsi="宋体"/>
              </w:rPr>
              <w:t>1</w:t>
            </w:r>
          </w:p>
        </w:tc>
        <w:tc>
          <w:tcPr>
            <w:tcW w:w="3712" w:type="pct"/>
            <w:vAlign w:val="center"/>
          </w:tcPr>
          <w:p w14:paraId="322E1E0F">
            <w:pPr>
              <w:rPr>
                <w:rFonts w:ascii="宋体" w:hAnsi="宋体"/>
                <w:sz w:val="24"/>
              </w:rPr>
            </w:pPr>
            <w:r>
              <w:rPr>
                <w:rFonts w:hint="eastAsia" w:hAnsi="宋体"/>
                <w:szCs w:val="21"/>
              </w:rPr>
              <w:t>按照招标文件的格式详细填写“投标函”</w:t>
            </w:r>
          </w:p>
        </w:tc>
        <w:tc>
          <w:tcPr>
            <w:tcW w:w="844" w:type="pct"/>
            <w:vAlign w:val="center"/>
          </w:tcPr>
          <w:p w14:paraId="344AA941">
            <w:pPr>
              <w:jc w:val="center"/>
              <w:rPr>
                <w:rFonts w:ascii="宋体" w:hAnsi="宋体"/>
                <w:szCs w:val="21"/>
              </w:rPr>
            </w:pPr>
            <w:r>
              <w:rPr>
                <w:rFonts w:ascii="宋体" w:hAnsi="宋体"/>
                <w:szCs w:val="21"/>
              </w:rPr>
              <w:t>合格/不合格</w:t>
            </w:r>
          </w:p>
        </w:tc>
      </w:tr>
      <w:tr w14:paraId="5775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42267244">
            <w:pPr>
              <w:ind w:left="57"/>
              <w:jc w:val="center"/>
              <w:rPr>
                <w:rFonts w:ascii="宋体" w:hAnsi="宋体"/>
              </w:rPr>
            </w:pPr>
            <w:r>
              <w:rPr>
                <w:rFonts w:hint="eastAsia" w:ascii="宋体" w:hAnsi="宋体"/>
              </w:rPr>
              <w:t>2</w:t>
            </w:r>
          </w:p>
        </w:tc>
        <w:tc>
          <w:tcPr>
            <w:tcW w:w="3712" w:type="pct"/>
            <w:vAlign w:val="center"/>
          </w:tcPr>
          <w:p w14:paraId="35082E6C">
            <w:pPr>
              <w:rPr>
                <w:rFonts w:ascii="宋体" w:hAnsi="宋体"/>
              </w:rPr>
            </w:pPr>
            <w:r>
              <w:rPr>
                <w:rFonts w:hint="eastAsia" w:hAnsi="宋体"/>
                <w:szCs w:val="21"/>
              </w:rPr>
              <w:t>按照招标文件的格式详细填写“</w:t>
            </w:r>
            <w:r>
              <w:rPr>
                <w:rFonts w:hint="eastAsia" w:ascii="宋体" w:hAnsi="宋体"/>
              </w:rPr>
              <w:t>政府采购投标及履约承诺函</w:t>
            </w:r>
            <w:r>
              <w:rPr>
                <w:rFonts w:hint="eastAsia" w:hAnsi="宋体"/>
                <w:szCs w:val="21"/>
              </w:rPr>
              <w:t>”</w:t>
            </w:r>
          </w:p>
        </w:tc>
        <w:tc>
          <w:tcPr>
            <w:tcW w:w="844" w:type="pct"/>
            <w:vAlign w:val="center"/>
          </w:tcPr>
          <w:p w14:paraId="39263F1E">
            <w:pPr>
              <w:jc w:val="center"/>
              <w:rPr>
                <w:rFonts w:ascii="宋体" w:hAnsi="宋体"/>
                <w:szCs w:val="21"/>
              </w:rPr>
            </w:pPr>
            <w:r>
              <w:rPr>
                <w:rFonts w:ascii="宋体" w:hAnsi="宋体"/>
                <w:szCs w:val="21"/>
              </w:rPr>
              <w:t>合格/不合格</w:t>
            </w:r>
          </w:p>
        </w:tc>
      </w:tr>
      <w:tr w14:paraId="657E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23155304">
            <w:pPr>
              <w:ind w:left="57"/>
              <w:jc w:val="center"/>
              <w:rPr>
                <w:rFonts w:ascii="宋体" w:hAnsi="宋体"/>
              </w:rPr>
            </w:pPr>
            <w:r>
              <w:rPr>
                <w:rFonts w:hint="eastAsia" w:ascii="宋体" w:hAnsi="宋体"/>
              </w:rPr>
              <w:t>3</w:t>
            </w:r>
          </w:p>
        </w:tc>
        <w:tc>
          <w:tcPr>
            <w:tcW w:w="3712" w:type="pct"/>
            <w:vAlign w:val="center"/>
          </w:tcPr>
          <w:p w14:paraId="40088CEC">
            <w:pPr>
              <w:rPr>
                <w:rFonts w:ascii="宋体" w:hAnsi="宋体"/>
              </w:rPr>
            </w:pPr>
            <w:r>
              <w:rPr>
                <w:rFonts w:hint="eastAsia" w:ascii="宋体" w:hAnsi="宋体"/>
              </w:rPr>
              <w:t>开标一览表未出现无报价、报价为零或有选择性报价的</w:t>
            </w:r>
          </w:p>
        </w:tc>
        <w:tc>
          <w:tcPr>
            <w:tcW w:w="844" w:type="pct"/>
            <w:vAlign w:val="center"/>
          </w:tcPr>
          <w:p w14:paraId="13437740">
            <w:pPr>
              <w:jc w:val="center"/>
              <w:rPr>
                <w:rFonts w:ascii="宋体" w:hAnsi="宋体"/>
                <w:szCs w:val="21"/>
              </w:rPr>
            </w:pPr>
            <w:r>
              <w:rPr>
                <w:rFonts w:ascii="宋体" w:hAnsi="宋体"/>
                <w:szCs w:val="21"/>
              </w:rPr>
              <w:t>合格/不合格</w:t>
            </w:r>
          </w:p>
        </w:tc>
      </w:tr>
      <w:tr w14:paraId="3858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0FD2969E">
            <w:pPr>
              <w:ind w:left="57"/>
              <w:jc w:val="center"/>
              <w:rPr>
                <w:rFonts w:ascii="宋体" w:hAnsi="宋体"/>
              </w:rPr>
            </w:pPr>
            <w:r>
              <w:rPr>
                <w:rFonts w:hint="eastAsia" w:ascii="宋体" w:hAnsi="宋体"/>
              </w:rPr>
              <w:t>4</w:t>
            </w:r>
          </w:p>
        </w:tc>
        <w:tc>
          <w:tcPr>
            <w:tcW w:w="3712" w:type="pct"/>
            <w:vAlign w:val="center"/>
          </w:tcPr>
          <w:p w14:paraId="062A1087">
            <w:pPr>
              <w:rPr>
                <w:rFonts w:ascii="宋体" w:hAnsi="宋体"/>
              </w:rPr>
            </w:pPr>
            <w:r>
              <w:rPr>
                <w:rFonts w:hint="eastAsia" w:ascii="宋体" w:hAnsi="宋体"/>
              </w:rPr>
              <w:t>投标总价</w:t>
            </w:r>
            <w:r>
              <w:rPr>
                <w:rFonts w:hint="eastAsia" w:ascii="宋体" w:hAnsi="宋体"/>
                <w:szCs w:val="21"/>
              </w:rPr>
              <w:t>或分项报价</w:t>
            </w:r>
            <w:r>
              <w:rPr>
                <w:rFonts w:hint="eastAsia" w:ascii="宋体" w:hAnsi="宋体"/>
              </w:rPr>
              <w:t>未超过预算控制金额</w:t>
            </w:r>
          </w:p>
        </w:tc>
        <w:tc>
          <w:tcPr>
            <w:tcW w:w="844" w:type="pct"/>
            <w:vAlign w:val="center"/>
          </w:tcPr>
          <w:p w14:paraId="03A9642B">
            <w:pPr>
              <w:jc w:val="center"/>
              <w:rPr>
                <w:rFonts w:ascii="宋体" w:hAnsi="宋体"/>
                <w:szCs w:val="21"/>
              </w:rPr>
            </w:pPr>
            <w:r>
              <w:rPr>
                <w:rFonts w:ascii="宋体" w:hAnsi="宋体"/>
                <w:szCs w:val="21"/>
              </w:rPr>
              <w:t>合格/不合格</w:t>
            </w:r>
          </w:p>
        </w:tc>
      </w:tr>
      <w:tr w14:paraId="4CFA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48CEA3C8">
            <w:pPr>
              <w:ind w:left="57"/>
              <w:jc w:val="center"/>
              <w:rPr>
                <w:rFonts w:ascii="宋体" w:hAnsi="宋体"/>
              </w:rPr>
            </w:pPr>
            <w:r>
              <w:rPr>
                <w:rFonts w:hint="eastAsia" w:ascii="宋体" w:hAnsi="宋体"/>
              </w:rPr>
              <w:t>5</w:t>
            </w:r>
          </w:p>
        </w:tc>
        <w:tc>
          <w:tcPr>
            <w:tcW w:w="3712" w:type="pct"/>
            <w:vAlign w:val="center"/>
          </w:tcPr>
          <w:p w14:paraId="5BA0537C">
            <w:pPr>
              <w:rPr>
                <w:rFonts w:ascii="宋体" w:hAnsi="宋体"/>
                <w:szCs w:val="21"/>
              </w:rPr>
            </w:pPr>
            <w:r>
              <w:rPr>
                <w:rFonts w:ascii="宋体" w:hAnsi="宋体"/>
                <w:szCs w:val="21"/>
              </w:rPr>
              <w:t>评标委员会认为投标人的报价明显低于其他通过符合性审查投标人的报价，有可能影响产品质量或者不能诚信履约的，投标人能在</w:t>
            </w:r>
            <w:r>
              <w:rPr>
                <w:rFonts w:hint="eastAsia" w:ascii="宋体" w:hAnsi="宋体"/>
                <w:szCs w:val="21"/>
              </w:rPr>
              <w:t>评标现场</w:t>
            </w:r>
            <w:r>
              <w:rPr>
                <w:rFonts w:ascii="宋体" w:hAnsi="宋体"/>
                <w:szCs w:val="21"/>
              </w:rPr>
              <w:t>合理的时间内提供书面说明</w:t>
            </w:r>
            <w:r>
              <w:rPr>
                <w:rFonts w:hint="eastAsia" w:ascii="宋体" w:hAnsi="宋体"/>
                <w:szCs w:val="21"/>
              </w:rPr>
              <w:t>（必要时提交相关证明材料）</w:t>
            </w:r>
            <w:r>
              <w:rPr>
                <w:rFonts w:ascii="宋体" w:hAnsi="宋体"/>
                <w:szCs w:val="21"/>
              </w:rPr>
              <w:t>或提交</w:t>
            </w:r>
            <w:r>
              <w:rPr>
                <w:rFonts w:hint="eastAsia" w:ascii="宋体" w:hAnsi="宋体"/>
                <w:szCs w:val="21"/>
              </w:rPr>
              <w:t>的书面说明</w:t>
            </w:r>
            <w:r>
              <w:rPr>
                <w:rFonts w:ascii="宋体" w:hAnsi="宋体"/>
                <w:szCs w:val="21"/>
              </w:rPr>
              <w:t>能证明其报价合理性</w:t>
            </w:r>
            <w:r>
              <w:rPr>
                <w:rFonts w:hint="eastAsia" w:ascii="宋体" w:hAnsi="宋体"/>
                <w:szCs w:val="21"/>
              </w:rPr>
              <w:t>。（若</w:t>
            </w:r>
            <w:r>
              <w:rPr>
                <w:rFonts w:ascii="宋体" w:hAnsi="宋体"/>
                <w:szCs w:val="21"/>
              </w:rPr>
              <w:t>评标委员会</w:t>
            </w:r>
            <w:r>
              <w:rPr>
                <w:rFonts w:hint="eastAsia" w:ascii="宋体" w:hAnsi="宋体"/>
                <w:szCs w:val="21"/>
              </w:rPr>
              <w:t>成员对是否须由投标人做出报价合理性说明，以及书面说明是否采纳等判断不一致的，按照“少数服从多数”的原则确定。）</w:t>
            </w:r>
          </w:p>
        </w:tc>
        <w:tc>
          <w:tcPr>
            <w:tcW w:w="844" w:type="pct"/>
            <w:vAlign w:val="center"/>
          </w:tcPr>
          <w:p w14:paraId="13F495F0">
            <w:pPr>
              <w:jc w:val="center"/>
              <w:rPr>
                <w:rFonts w:ascii="宋体" w:hAnsi="宋体"/>
                <w:szCs w:val="21"/>
              </w:rPr>
            </w:pPr>
            <w:r>
              <w:rPr>
                <w:rFonts w:ascii="宋体" w:hAnsi="宋体"/>
                <w:szCs w:val="21"/>
              </w:rPr>
              <w:t>合格/不合格</w:t>
            </w:r>
          </w:p>
        </w:tc>
      </w:tr>
      <w:tr w14:paraId="17D1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3890C6CA">
            <w:pPr>
              <w:ind w:left="57"/>
              <w:jc w:val="center"/>
              <w:rPr>
                <w:rFonts w:ascii="宋体" w:hAnsi="宋体"/>
              </w:rPr>
            </w:pPr>
            <w:r>
              <w:rPr>
                <w:rFonts w:hint="eastAsia" w:ascii="宋体" w:hAnsi="宋体"/>
              </w:rPr>
              <w:t>6</w:t>
            </w:r>
          </w:p>
        </w:tc>
        <w:tc>
          <w:tcPr>
            <w:tcW w:w="3712" w:type="pct"/>
            <w:vAlign w:val="center"/>
          </w:tcPr>
          <w:p w14:paraId="26F37AF3">
            <w:pPr>
              <w:rPr>
                <w:rFonts w:ascii="宋体" w:hAnsi="宋体"/>
              </w:rPr>
            </w:pPr>
            <w:r>
              <w:rPr>
                <w:szCs w:val="21"/>
              </w:rPr>
              <w:t>实质性满足招标文件要求</w:t>
            </w:r>
            <w:r>
              <w:rPr>
                <w:rFonts w:hint="eastAsia"/>
                <w:szCs w:val="21"/>
              </w:rPr>
              <w:t>和条件</w:t>
            </w:r>
            <w:r>
              <w:rPr>
                <w:szCs w:val="21"/>
              </w:rPr>
              <w:t>（</w:t>
            </w:r>
            <w:r>
              <w:rPr>
                <w:rFonts w:hint="eastAsia" w:ascii="宋体" w:hAnsi="宋体"/>
              </w:rPr>
              <w:t>不可偏离项检查</w:t>
            </w:r>
            <w:r>
              <w:rPr>
                <w:szCs w:val="21"/>
              </w:rPr>
              <w:t>）</w:t>
            </w:r>
          </w:p>
        </w:tc>
        <w:tc>
          <w:tcPr>
            <w:tcW w:w="844" w:type="pct"/>
            <w:vAlign w:val="center"/>
          </w:tcPr>
          <w:p w14:paraId="14798802">
            <w:pPr>
              <w:jc w:val="center"/>
              <w:rPr>
                <w:rFonts w:ascii="宋体" w:hAnsi="宋体"/>
                <w:szCs w:val="21"/>
              </w:rPr>
            </w:pPr>
            <w:r>
              <w:rPr>
                <w:rFonts w:ascii="宋体" w:hAnsi="宋体"/>
                <w:szCs w:val="21"/>
              </w:rPr>
              <w:t>合格/不合格</w:t>
            </w:r>
          </w:p>
        </w:tc>
      </w:tr>
      <w:tr w14:paraId="7551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42F164EE">
            <w:pPr>
              <w:ind w:left="57"/>
              <w:jc w:val="center"/>
              <w:rPr>
                <w:rFonts w:ascii="宋体" w:hAnsi="宋体"/>
                <w:shd w:val="pct10" w:color="auto" w:fill="FFFFFF"/>
              </w:rPr>
            </w:pPr>
            <w:r>
              <w:rPr>
                <w:rFonts w:hint="eastAsia" w:ascii="宋体" w:hAnsi="宋体"/>
                <w:shd w:val="pct10" w:color="auto" w:fill="FFFFFF"/>
              </w:rPr>
              <w:t>7</w:t>
            </w:r>
          </w:p>
        </w:tc>
        <w:tc>
          <w:tcPr>
            <w:tcW w:w="3712" w:type="pct"/>
            <w:vAlign w:val="center"/>
          </w:tcPr>
          <w:p w14:paraId="6271A3B9">
            <w:pPr>
              <w:rPr>
                <w:rFonts w:ascii="宋体" w:hAnsi="宋体"/>
              </w:rPr>
            </w:pPr>
            <w:r>
              <w:rPr>
                <w:szCs w:val="21"/>
              </w:rPr>
              <w:t>投标文件载明的招标项目完成期限</w:t>
            </w:r>
            <w:r>
              <w:rPr>
                <w:rFonts w:hint="eastAsia"/>
                <w:szCs w:val="21"/>
              </w:rPr>
              <w:t>未</w:t>
            </w:r>
            <w:r>
              <w:rPr>
                <w:szCs w:val="21"/>
              </w:rPr>
              <w:t>超过招标文件规定的期限</w:t>
            </w:r>
          </w:p>
        </w:tc>
        <w:tc>
          <w:tcPr>
            <w:tcW w:w="844" w:type="pct"/>
            <w:vAlign w:val="center"/>
          </w:tcPr>
          <w:p w14:paraId="1087B7DD">
            <w:pPr>
              <w:jc w:val="center"/>
              <w:rPr>
                <w:rFonts w:ascii="宋体" w:hAnsi="宋体"/>
                <w:szCs w:val="21"/>
              </w:rPr>
            </w:pPr>
            <w:r>
              <w:rPr>
                <w:rFonts w:ascii="宋体" w:hAnsi="宋体"/>
                <w:szCs w:val="21"/>
              </w:rPr>
              <w:t>合格/不合格</w:t>
            </w:r>
          </w:p>
        </w:tc>
      </w:tr>
      <w:tr w14:paraId="7FA5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5C617D9C">
            <w:pPr>
              <w:ind w:left="57"/>
              <w:jc w:val="center"/>
              <w:rPr>
                <w:rFonts w:ascii="宋体" w:hAnsi="宋体"/>
              </w:rPr>
            </w:pPr>
            <w:r>
              <w:rPr>
                <w:rFonts w:hint="eastAsia" w:ascii="宋体" w:hAnsi="宋体"/>
              </w:rPr>
              <w:t>8</w:t>
            </w:r>
          </w:p>
        </w:tc>
        <w:tc>
          <w:tcPr>
            <w:tcW w:w="3712" w:type="pct"/>
            <w:vAlign w:val="center"/>
          </w:tcPr>
          <w:p w14:paraId="06CEA526">
            <w:pPr>
              <w:jc w:val="left"/>
              <w:rPr>
                <w:rFonts w:ascii="宋体" w:hAnsi="宋体"/>
                <w:shd w:val="pct10" w:color="auto" w:fill="FFFFFF"/>
              </w:rPr>
            </w:pPr>
            <w:r>
              <w:rPr>
                <w:rFonts w:hint="eastAsia" w:ascii="宋体" w:hAnsi="宋体"/>
                <w:shd w:val="pct10" w:color="auto" w:fill="FFFFFF"/>
              </w:rPr>
              <w:t>投标文件载明的免费保修期不低于招标文件规定的期限</w:t>
            </w:r>
          </w:p>
        </w:tc>
        <w:tc>
          <w:tcPr>
            <w:tcW w:w="844" w:type="pct"/>
            <w:vAlign w:val="center"/>
          </w:tcPr>
          <w:p w14:paraId="1796CA0E">
            <w:pPr>
              <w:ind w:left="57"/>
              <w:jc w:val="center"/>
              <w:rPr>
                <w:rFonts w:ascii="宋体" w:hAnsi="宋体"/>
                <w:shd w:val="pct10" w:color="auto" w:fill="FFFFFF"/>
              </w:rPr>
            </w:pPr>
            <w:r>
              <w:rPr>
                <w:rFonts w:ascii="宋体" w:hAnsi="宋体"/>
                <w:szCs w:val="21"/>
                <w:shd w:val="pct10" w:color="auto" w:fill="FFFFFF"/>
              </w:rPr>
              <w:t>合格/不合格</w:t>
            </w:r>
          </w:p>
        </w:tc>
      </w:tr>
      <w:tr w14:paraId="5B20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320065BB">
            <w:pPr>
              <w:ind w:left="57"/>
              <w:jc w:val="center"/>
              <w:rPr>
                <w:rFonts w:ascii="宋体" w:hAnsi="宋体"/>
              </w:rPr>
            </w:pPr>
            <w:r>
              <w:rPr>
                <w:rFonts w:hint="eastAsia" w:ascii="宋体" w:hAnsi="宋体"/>
              </w:rPr>
              <w:t>9</w:t>
            </w:r>
          </w:p>
        </w:tc>
        <w:tc>
          <w:tcPr>
            <w:tcW w:w="3712" w:type="pct"/>
            <w:vAlign w:val="center"/>
          </w:tcPr>
          <w:p w14:paraId="60745863">
            <w:pPr>
              <w:jc w:val="left"/>
              <w:rPr>
                <w:rFonts w:ascii="宋体" w:hAnsi="宋体"/>
              </w:rPr>
            </w:pPr>
            <w:r>
              <w:rPr>
                <w:rFonts w:hint="eastAsia" w:hAnsi="宋体"/>
                <w:szCs w:val="21"/>
              </w:rPr>
              <w:t>按招标文件的要求填报所投产品具体完整的品牌、型号、产地</w:t>
            </w:r>
          </w:p>
        </w:tc>
        <w:tc>
          <w:tcPr>
            <w:tcW w:w="844" w:type="pct"/>
            <w:vAlign w:val="center"/>
          </w:tcPr>
          <w:p w14:paraId="24846936">
            <w:pPr>
              <w:ind w:left="57"/>
              <w:jc w:val="center"/>
              <w:rPr>
                <w:rFonts w:ascii="宋体" w:hAnsi="宋体"/>
                <w:szCs w:val="21"/>
              </w:rPr>
            </w:pPr>
            <w:r>
              <w:rPr>
                <w:rFonts w:ascii="宋体" w:hAnsi="宋体"/>
                <w:szCs w:val="21"/>
              </w:rPr>
              <w:t>合格/不合格</w:t>
            </w:r>
          </w:p>
        </w:tc>
      </w:tr>
      <w:tr w14:paraId="0D62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3BC88A02">
            <w:pPr>
              <w:ind w:left="57"/>
              <w:jc w:val="center"/>
              <w:rPr>
                <w:rFonts w:ascii="宋体" w:hAnsi="宋体"/>
              </w:rPr>
            </w:pPr>
            <w:r>
              <w:rPr>
                <w:rFonts w:hint="eastAsia" w:ascii="宋体" w:hAnsi="宋体"/>
              </w:rPr>
              <w:t>10</w:t>
            </w:r>
          </w:p>
        </w:tc>
        <w:tc>
          <w:tcPr>
            <w:tcW w:w="3712" w:type="pct"/>
            <w:vAlign w:val="center"/>
          </w:tcPr>
          <w:p w14:paraId="636BDC07">
            <w:pPr>
              <w:jc w:val="left"/>
              <w:rPr>
                <w:rFonts w:ascii="宋体" w:hAnsi="宋体"/>
              </w:rPr>
            </w:pPr>
            <w:r>
              <w:rPr>
                <w:rFonts w:hint="eastAsia" w:hAnsi="宋体"/>
                <w:szCs w:val="21"/>
              </w:rPr>
              <w:t>《技术偏离表》和《商务偏离表》已提交</w:t>
            </w:r>
          </w:p>
        </w:tc>
        <w:tc>
          <w:tcPr>
            <w:tcW w:w="844" w:type="pct"/>
            <w:vAlign w:val="center"/>
          </w:tcPr>
          <w:p w14:paraId="445331A6">
            <w:pPr>
              <w:ind w:left="57"/>
              <w:jc w:val="center"/>
              <w:rPr>
                <w:rFonts w:ascii="宋体" w:hAnsi="宋体"/>
                <w:szCs w:val="21"/>
              </w:rPr>
            </w:pPr>
            <w:r>
              <w:rPr>
                <w:rFonts w:ascii="宋体" w:hAnsi="宋体"/>
                <w:szCs w:val="21"/>
              </w:rPr>
              <w:t>合格/不合格</w:t>
            </w:r>
          </w:p>
        </w:tc>
      </w:tr>
      <w:tr w14:paraId="3390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16BF9021">
            <w:pPr>
              <w:ind w:left="57"/>
              <w:jc w:val="center"/>
              <w:rPr>
                <w:rFonts w:ascii="宋体" w:hAnsi="宋体"/>
              </w:rPr>
            </w:pPr>
            <w:r>
              <w:rPr>
                <w:rFonts w:hint="eastAsia" w:ascii="宋体" w:hAnsi="宋体"/>
              </w:rPr>
              <w:t>11</w:t>
            </w:r>
          </w:p>
        </w:tc>
        <w:tc>
          <w:tcPr>
            <w:tcW w:w="3712" w:type="pct"/>
            <w:vAlign w:val="center"/>
          </w:tcPr>
          <w:p w14:paraId="45097FFC">
            <w:pPr>
              <w:rPr>
                <w:rFonts w:ascii="宋体" w:hAnsi="宋体"/>
              </w:rPr>
            </w:pPr>
            <w:r>
              <w:rPr>
                <w:rFonts w:hint="eastAsia" w:ascii="宋体" w:hAnsi="宋体"/>
              </w:rPr>
              <w:t>“否决性条款”列明的其他情况</w:t>
            </w:r>
          </w:p>
        </w:tc>
        <w:tc>
          <w:tcPr>
            <w:tcW w:w="844" w:type="pct"/>
            <w:vAlign w:val="center"/>
          </w:tcPr>
          <w:p w14:paraId="2B95099A">
            <w:pPr>
              <w:jc w:val="center"/>
              <w:rPr>
                <w:rFonts w:ascii="宋体" w:hAnsi="宋体"/>
                <w:szCs w:val="21"/>
              </w:rPr>
            </w:pPr>
            <w:r>
              <w:rPr>
                <w:rFonts w:ascii="宋体" w:hAnsi="宋体"/>
                <w:szCs w:val="21"/>
              </w:rPr>
              <w:t>合格/不合格</w:t>
            </w:r>
          </w:p>
        </w:tc>
      </w:tr>
      <w:tr w14:paraId="380C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4" w:type="pct"/>
            <w:vAlign w:val="center"/>
          </w:tcPr>
          <w:p w14:paraId="1BE4B43C">
            <w:pPr>
              <w:ind w:left="57"/>
              <w:jc w:val="center"/>
              <w:rPr>
                <w:rFonts w:ascii="宋体" w:hAnsi="宋体"/>
              </w:rPr>
            </w:pPr>
            <w:r>
              <w:rPr>
                <w:rFonts w:hint="eastAsia" w:ascii="宋体" w:hAnsi="宋体"/>
              </w:rPr>
              <w:t>12</w:t>
            </w:r>
          </w:p>
        </w:tc>
        <w:tc>
          <w:tcPr>
            <w:tcW w:w="3712" w:type="pct"/>
            <w:vAlign w:val="center"/>
          </w:tcPr>
          <w:p w14:paraId="4B10F83F">
            <w:pPr>
              <w:rPr>
                <w:rFonts w:ascii="宋体" w:hAnsi="宋体"/>
                <w:szCs w:val="21"/>
              </w:rPr>
            </w:pPr>
            <w:r>
              <w:rPr>
                <w:rFonts w:ascii="宋体" w:hAnsi="宋体"/>
                <w:szCs w:val="21"/>
              </w:rPr>
              <w:t>结论</w:t>
            </w:r>
          </w:p>
        </w:tc>
        <w:tc>
          <w:tcPr>
            <w:tcW w:w="844" w:type="pct"/>
            <w:vAlign w:val="center"/>
          </w:tcPr>
          <w:p w14:paraId="120BD245">
            <w:pPr>
              <w:jc w:val="center"/>
              <w:rPr>
                <w:rFonts w:ascii="宋体" w:hAnsi="宋体"/>
                <w:szCs w:val="21"/>
              </w:rPr>
            </w:pPr>
            <w:r>
              <w:rPr>
                <w:rFonts w:ascii="宋体" w:hAnsi="宋体"/>
                <w:szCs w:val="21"/>
              </w:rPr>
              <w:t>通过/不通过</w:t>
            </w:r>
          </w:p>
        </w:tc>
      </w:tr>
    </w:tbl>
    <w:p w14:paraId="00297815">
      <w:pPr>
        <w:spacing w:line="360" w:lineRule="exact"/>
        <w:ind w:firstLine="422" w:firstLineChars="200"/>
        <w:rPr>
          <w:rFonts w:ascii="宋体" w:hAnsi="宋体"/>
          <w:b/>
          <w:bCs/>
          <w:szCs w:val="21"/>
        </w:rPr>
      </w:pPr>
      <w:r>
        <w:rPr>
          <w:rFonts w:hint="eastAsia" w:ascii="宋体" w:hAnsi="宋体"/>
          <w:b/>
          <w:szCs w:val="21"/>
        </w:rPr>
        <w:t>2、评分表</w:t>
      </w:r>
      <w:r>
        <w:rPr>
          <w:rFonts w:hint="eastAsia" w:ascii="宋体" w:hAnsi="宋体"/>
          <w:b/>
          <w:bCs/>
          <w:szCs w:val="21"/>
        </w:rPr>
        <w:t xml:space="preserve"> </w:t>
      </w:r>
      <w:r>
        <w:rPr>
          <w:rFonts w:ascii="宋体" w:hAnsi="宋体"/>
          <w:b/>
          <w:bCs/>
          <w:szCs w:val="21"/>
        </w:rPr>
        <w:tab/>
      </w:r>
    </w:p>
    <w:tbl>
      <w:tblPr>
        <w:tblStyle w:val="4"/>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676"/>
        <w:gridCol w:w="1303"/>
        <w:gridCol w:w="656"/>
        <w:gridCol w:w="1049"/>
        <w:gridCol w:w="3997"/>
      </w:tblGrid>
      <w:tr w14:paraId="13C2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4BAE15A">
            <w:pPr>
              <w:jc w:val="center"/>
              <w:rPr>
                <w:rFonts w:ascii="宋体" w:hAnsi="宋体"/>
                <w:b/>
                <w:szCs w:val="21"/>
              </w:rPr>
            </w:pPr>
            <w:r>
              <w:rPr>
                <w:rFonts w:hint="eastAsia" w:ascii="宋体" w:hAnsi="宋体"/>
                <w:b/>
                <w:szCs w:val="21"/>
              </w:rPr>
              <w:t>序号</w:t>
            </w:r>
          </w:p>
        </w:tc>
        <w:tc>
          <w:tcPr>
            <w:tcW w:w="2213" w:type="pct"/>
            <w:gridSpan w:val="4"/>
            <w:vAlign w:val="center"/>
          </w:tcPr>
          <w:p w14:paraId="53D8A910">
            <w:pPr>
              <w:jc w:val="center"/>
              <w:rPr>
                <w:rFonts w:ascii="宋体" w:hAnsi="宋体"/>
                <w:b/>
                <w:szCs w:val="21"/>
              </w:rPr>
            </w:pPr>
            <w:r>
              <w:rPr>
                <w:rFonts w:hint="eastAsia" w:ascii="宋体" w:hAnsi="宋体"/>
                <w:b/>
                <w:szCs w:val="21"/>
              </w:rPr>
              <w:t>评分项</w:t>
            </w:r>
          </w:p>
        </w:tc>
        <w:tc>
          <w:tcPr>
            <w:tcW w:w="2401" w:type="pct"/>
            <w:vAlign w:val="center"/>
          </w:tcPr>
          <w:p w14:paraId="155E89CB">
            <w:pPr>
              <w:jc w:val="center"/>
              <w:rPr>
                <w:rFonts w:ascii="宋体" w:hAnsi="宋体"/>
                <w:b/>
                <w:szCs w:val="21"/>
              </w:rPr>
            </w:pPr>
            <w:r>
              <w:rPr>
                <w:rFonts w:hint="eastAsia" w:ascii="宋体" w:hAnsi="宋体"/>
                <w:b/>
                <w:szCs w:val="21"/>
              </w:rPr>
              <w:t>权重</w:t>
            </w:r>
          </w:p>
        </w:tc>
      </w:tr>
      <w:tr w14:paraId="60A9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4E756E0E">
            <w:pPr>
              <w:jc w:val="center"/>
              <w:rPr>
                <w:rFonts w:ascii="宋体" w:hAnsi="宋体"/>
                <w:b/>
                <w:szCs w:val="21"/>
              </w:rPr>
            </w:pPr>
            <w:r>
              <w:rPr>
                <w:rFonts w:ascii="宋体" w:hAnsi="宋体"/>
                <w:b/>
                <w:szCs w:val="21"/>
              </w:rPr>
              <w:t>1</w:t>
            </w:r>
          </w:p>
        </w:tc>
        <w:tc>
          <w:tcPr>
            <w:tcW w:w="2213" w:type="pct"/>
            <w:gridSpan w:val="4"/>
            <w:vAlign w:val="center"/>
          </w:tcPr>
          <w:p w14:paraId="04ED741C">
            <w:pPr>
              <w:jc w:val="center"/>
              <w:rPr>
                <w:rFonts w:ascii="宋体" w:hAnsi="宋体"/>
                <w:b/>
                <w:szCs w:val="21"/>
              </w:rPr>
            </w:pPr>
            <w:r>
              <w:rPr>
                <w:rFonts w:hint="eastAsia" w:ascii="宋体" w:hAnsi="宋体"/>
                <w:b/>
                <w:szCs w:val="21"/>
              </w:rPr>
              <w:t>价格</w:t>
            </w:r>
          </w:p>
        </w:tc>
        <w:tc>
          <w:tcPr>
            <w:tcW w:w="2401" w:type="pct"/>
            <w:vAlign w:val="center"/>
          </w:tcPr>
          <w:p w14:paraId="5772F617">
            <w:pPr>
              <w:jc w:val="center"/>
              <w:rPr>
                <w:rFonts w:ascii="宋体" w:hAnsi="宋体"/>
                <w:b/>
                <w:szCs w:val="21"/>
              </w:rPr>
            </w:pPr>
            <w:r>
              <w:rPr>
                <w:rFonts w:hint="eastAsia" w:ascii="宋体" w:hAnsi="宋体"/>
                <w:b/>
                <w:szCs w:val="21"/>
              </w:rPr>
              <w:t>3</w:t>
            </w:r>
            <w:r>
              <w:rPr>
                <w:rFonts w:ascii="宋体" w:hAnsi="宋体"/>
                <w:b/>
                <w:szCs w:val="21"/>
              </w:rPr>
              <w:t>0</w:t>
            </w:r>
          </w:p>
        </w:tc>
      </w:tr>
      <w:tr w14:paraId="2FD0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3E3860BB">
            <w:pPr>
              <w:jc w:val="center"/>
              <w:rPr>
                <w:rFonts w:ascii="宋体" w:hAnsi="宋体"/>
                <w:szCs w:val="21"/>
              </w:rPr>
            </w:pPr>
          </w:p>
        </w:tc>
        <w:tc>
          <w:tcPr>
            <w:tcW w:w="4614" w:type="pct"/>
            <w:gridSpan w:val="5"/>
            <w:vAlign w:val="center"/>
          </w:tcPr>
          <w:p w14:paraId="101B8536">
            <w:pPr>
              <w:rPr>
                <w:rFonts w:ascii="宋体" w:hAnsi="宋体"/>
                <w:szCs w:val="21"/>
              </w:rPr>
            </w:pPr>
            <w:r>
              <w:rPr>
                <w:rFonts w:hint="eastAsia" w:ascii="宋体" w:hAnsi="宋体"/>
                <w:szCs w:val="21"/>
              </w:rPr>
              <w:t>投标报价价格分=（评标基准价/投标报价）×30</w:t>
            </w:r>
          </w:p>
          <w:p w14:paraId="3529B4E8">
            <w:pPr>
              <w:jc w:val="left"/>
              <w:rPr>
                <w:rFonts w:ascii="宋体" w:hAnsi="宋体"/>
                <w:szCs w:val="21"/>
              </w:rPr>
            </w:pPr>
            <w:r>
              <w:rPr>
                <w:rFonts w:hint="eastAsia" w:ascii="宋体" w:hAnsi="宋体"/>
                <w:szCs w:val="21"/>
              </w:rPr>
              <w:t>评标基准价为满足招标文件要求且投标价格最低的投标报价。</w:t>
            </w:r>
          </w:p>
        </w:tc>
      </w:tr>
      <w:tr w14:paraId="6F43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1DF240B3">
            <w:pPr>
              <w:jc w:val="center"/>
              <w:rPr>
                <w:rFonts w:ascii="宋体" w:hAnsi="宋体"/>
                <w:b/>
                <w:szCs w:val="21"/>
              </w:rPr>
            </w:pPr>
            <w:r>
              <w:rPr>
                <w:rFonts w:ascii="宋体" w:hAnsi="宋体"/>
                <w:b/>
                <w:szCs w:val="21"/>
              </w:rPr>
              <w:t>2</w:t>
            </w:r>
          </w:p>
        </w:tc>
        <w:tc>
          <w:tcPr>
            <w:tcW w:w="2213" w:type="pct"/>
            <w:gridSpan w:val="4"/>
            <w:vAlign w:val="center"/>
          </w:tcPr>
          <w:p w14:paraId="22B275F4">
            <w:pPr>
              <w:jc w:val="center"/>
              <w:rPr>
                <w:rFonts w:ascii="宋体" w:hAnsi="宋体"/>
                <w:b/>
                <w:szCs w:val="21"/>
              </w:rPr>
            </w:pPr>
            <w:r>
              <w:rPr>
                <w:rFonts w:hint="eastAsia" w:ascii="宋体" w:hAnsi="宋体"/>
                <w:b/>
                <w:szCs w:val="21"/>
              </w:rPr>
              <w:t>技术部分</w:t>
            </w:r>
          </w:p>
        </w:tc>
        <w:tc>
          <w:tcPr>
            <w:tcW w:w="2401" w:type="pct"/>
            <w:vAlign w:val="center"/>
          </w:tcPr>
          <w:p w14:paraId="31FC59EA">
            <w:pPr>
              <w:jc w:val="center"/>
              <w:rPr>
                <w:rFonts w:ascii="宋体" w:hAnsi="宋体"/>
                <w:b/>
                <w:szCs w:val="21"/>
              </w:rPr>
            </w:pPr>
            <w:r>
              <w:rPr>
                <w:rFonts w:hint="eastAsia" w:ascii="宋体" w:hAnsi="宋体"/>
                <w:b/>
                <w:szCs w:val="21"/>
              </w:rPr>
              <w:t>48</w:t>
            </w:r>
          </w:p>
        </w:tc>
      </w:tr>
      <w:tr w14:paraId="77F0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restart"/>
            <w:vAlign w:val="center"/>
          </w:tcPr>
          <w:p w14:paraId="5794F90B">
            <w:pPr>
              <w:jc w:val="center"/>
              <w:rPr>
                <w:rFonts w:ascii="宋体" w:hAnsi="宋体"/>
                <w:szCs w:val="21"/>
              </w:rPr>
            </w:pPr>
          </w:p>
        </w:tc>
        <w:tc>
          <w:tcPr>
            <w:tcW w:w="406" w:type="pct"/>
            <w:vAlign w:val="center"/>
          </w:tcPr>
          <w:p w14:paraId="6B2BA10F">
            <w:pPr>
              <w:jc w:val="center"/>
              <w:rPr>
                <w:rFonts w:ascii="宋体" w:hAnsi="宋体"/>
                <w:b/>
                <w:szCs w:val="21"/>
              </w:rPr>
            </w:pPr>
            <w:r>
              <w:rPr>
                <w:rFonts w:hint="eastAsia" w:ascii="宋体" w:hAnsi="宋体"/>
                <w:b/>
                <w:szCs w:val="21"/>
              </w:rPr>
              <w:t>序号</w:t>
            </w:r>
          </w:p>
        </w:tc>
        <w:tc>
          <w:tcPr>
            <w:tcW w:w="783" w:type="pct"/>
            <w:vAlign w:val="center"/>
          </w:tcPr>
          <w:p w14:paraId="749DE846">
            <w:pPr>
              <w:jc w:val="center"/>
              <w:rPr>
                <w:rFonts w:ascii="宋体" w:hAnsi="宋体"/>
                <w:b/>
                <w:szCs w:val="21"/>
              </w:rPr>
            </w:pPr>
            <w:r>
              <w:rPr>
                <w:rFonts w:hint="eastAsia" w:ascii="宋体" w:hAnsi="宋体"/>
                <w:b/>
                <w:szCs w:val="21"/>
              </w:rPr>
              <w:t>评分因素</w:t>
            </w:r>
          </w:p>
        </w:tc>
        <w:tc>
          <w:tcPr>
            <w:tcW w:w="394" w:type="pct"/>
            <w:vAlign w:val="center"/>
          </w:tcPr>
          <w:p w14:paraId="6AD0E0F7">
            <w:pPr>
              <w:jc w:val="center"/>
              <w:rPr>
                <w:rFonts w:ascii="宋体" w:hAnsi="宋体"/>
                <w:b/>
                <w:szCs w:val="21"/>
              </w:rPr>
            </w:pPr>
            <w:r>
              <w:rPr>
                <w:rFonts w:hint="eastAsia" w:ascii="宋体" w:hAnsi="宋体"/>
                <w:b/>
                <w:szCs w:val="21"/>
              </w:rPr>
              <w:t>权重</w:t>
            </w:r>
          </w:p>
        </w:tc>
        <w:tc>
          <w:tcPr>
            <w:tcW w:w="630" w:type="pct"/>
            <w:vAlign w:val="center"/>
          </w:tcPr>
          <w:p w14:paraId="7E5D3A93">
            <w:pPr>
              <w:jc w:val="center"/>
              <w:rPr>
                <w:rFonts w:ascii="宋体" w:hAnsi="宋体"/>
                <w:b/>
                <w:szCs w:val="21"/>
              </w:rPr>
            </w:pPr>
            <w:r>
              <w:rPr>
                <w:rFonts w:hint="eastAsia" w:ascii="宋体" w:hAnsi="宋体"/>
                <w:b/>
                <w:szCs w:val="21"/>
              </w:rPr>
              <w:t>评分方式</w:t>
            </w:r>
          </w:p>
        </w:tc>
        <w:tc>
          <w:tcPr>
            <w:tcW w:w="2401" w:type="pct"/>
            <w:vAlign w:val="center"/>
          </w:tcPr>
          <w:p w14:paraId="7D64DB1B">
            <w:pPr>
              <w:jc w:val="center"/>
              <w:rPr>
                <w:rFonts w:ascii="宋体" w:hAnsi="宋体"/>
                <w:b/>
                <w:szCs w:val="21"/>
              </w:rPr>
            </w:pPr>
            <w:r>
              <w:rPr>
                <w:rFonts w:hint="eastAsia" w:ascii="宋体" w:hAnsi="宋体"/>
                <w:b/>
                <w:szCs w:val="21"/>
              </w:rPr>
              <w:t>评分准则</w:t>
            </w:r>
          </w:p>
        </w:tc>
      </w:tr>
      <w:tr w14:paraId="27BB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vAlign w:val="center"/>
          </w:tcPr>
          <w:p w14:paraId="55AC9313">
            <w:pPr>
              <w:jc w:val="center"/>
              <w:outlineLvl w:val="0"/>
              <w:rPr>
                <w:rFonts w:ascii="宋体" w:hAnsi="宋体"/>
                <w:szCs w:val="21"/>
              </w:rPr>
            </w:pPr>
          </w:p>
        </w:tc>
        <w:tc>
          <w:tcPr>
            <w:tcW w:w="406" w:type="pct"/>
            <w:vAlign w:val="center"/>
          </w:tcPr>
          <w:p w14:paraId="27A5D917">
            <w:pPr>
              <w:jc w:val="center"/>
              <w:rPr>
                <w:rFonts w:ascii="宋体" w:hAnsi="宋体"/>
                <w:szCs w:val="21"/>
              </w:rPr>
            </w:pPr>
            <w:r>
              <w:rPr>
                <w:rFonts w:ascii="宋体" w:hAnsi="宋体"/>
                <w:szCs w:val="21"/>
              </w:rPr>
              <w:t>1</w:t>
            </w:r>
          </w:p>
        </w:tc>
        <w:tc>
          <w:tcPr>
            <w:tcW w:w="783" w:type="pct"/>
            <w:vAlign w:val="center"/>
          </w:tcPr>
          <w:p w14:paraId="42BFCB29">
            <w:pPr>
              <w:jc w:val="center"/>
              <w:rPr>
                <w:rFonts w:ascii="宋体" w:hAnsi="宋体"/>
                <w:szCs w:val="21"/>
              </w:rPr>
            </w:pPr>
            <w:r>
              <w:rPr>
                <w:rFonts w:hint="eastAsia" w:ascii="宋体" w:hAnsi="宋体"/>
                <w:szCs w:val="21"/>
              </w:rPr>
              <w:t>技术保障措施</w:t>
            </w:r>
          </w:p>
        </w:tc>
        <w:tc>
          <w:tcPr>
            <w:tcW w:w="394" w:type="pct"/>
            <w:vAlign w:val="center"/>
          </w:tcPr>
          <w:p w14:paraId="07D52EE4">
            <w:pPr>
              <w:jc w:val="center"/>
              <w:rPr>
                <w:rFonts w:ascii="宋体" w:hAnsi="宋体"/>
                <w:szCs w:val="21"/>
              </w:rPr>
            </w:pPr>
            <w:r>
              <w:rPr>
                <w:rFonts w:hint="eastAsia" w:ascii="宋体" w:hAnsi="宋体"/>
                <w:szCs w:val="21"/>
              </w:rPr>
              <w:t>1</w:t>
            </w:r>
          </w:p>
        </w:tc>
        <w:tc>
          <w:tcPr>
            <w:tcW w:w="630" w:type="pct"/>
            <w:vAlign w:val="center"/>
          </w:tcPr>
          <w:p w14:paraId="0F953F51">
            <w:pPr>
              <w:jc w:val="center"/>
              <w:rPr>
                <w:rFonts w:ascii="宋体" w:hAnsi="宋体"/>
                <w:szCs w:val="21"/>
              </w:rPr>
            </w:pPr>
            <w:r>
              <w:rPr>
                <w:rFonts w:hint="eastAsia" w:ascii="宋体" w:hAnsi="宋体"/>
                <w:szCs w:val="21"/>
              </w:rPr>
              <w:t>评委评分</w:t>
            </w:r>
          </w:p>
        </w:tc>
        <w:tc>
          <w:tcPr>
            <w:tcW w:w="2401" w:type="pct"/>
            <w:vAlign w:val="center"/>
          </w:tcPr>
          <w:p w14:paraId="155F85FE">
            <w:pPr>
              <w:rPr>
                <w:rFonts w:ascii="宋体" w:hAnsi="宋体"/>
                <w:szCs w:val="21"/>
              </w:rPr>
            </w:pPr>
            <w:r>
              <w:rPr>
                <w:rFonts w:hint="eastAsia" w:ascii="宋体" w:hAnsi="宋体" w:cs="宋体"/>
                <w:szCs w:val="21"/>
              </w:rPr>
              <w:t>在投标文件中详细说明设备制造商的保障措施（包括技术团队、技术方案、技术人员、场地、车辆等），评审委员会根据响应情况进行横向比较，按优</w:t>
            </w:r>
            <w:r>
              <w:rPr>
                <w:rFonts w:ascii="宋体" w:hAnsi="宋体" w:cs="宋体"/>
                <w:szCs w:val="21"/>
              </w:rPr>
              <w:t>100</w:t>
            </w:r>
            <w:r>
              <w:rPr>
                <w:rFonts w:hint="eastAsia" w:ascii="宋体" w:hAnsi="宋体" w:cs="宋体"/>
                <w:szCs w:val="21"/>
              </w:rPr>
              <w:t>%，良</w:t>
            </w:r>
            <w:r>
              <w:rPr>
                <w:rFonts w:ascii="宋体" w:hAnsi="宋体" w:cs="宋体"/>
                <w:szCs w:val="21"/>
              </w:rPr>
              <w:t>80</w:t>
            </w:r>
            <w:r>
              <w:rPr>
                <w:rFonts w:hint="eastAsia" w:ascii="宋体" w:hAnsi="宋体" w:cs="宋体"/>
                <w:szCs w:val="21"/>
              </w:rPr>
              <w:t>%，中</w:t>
            </w:r>
            <w:r>
              <w:rPr>
                <w:rFonts w:ascii="宋体" w:hAnsi="宋体" w:cs="宋体"/>
                <w:szCs w:val="21"/>
              </w:rPr>
              <w:t>60</w:t>
            </w:r>
            <w:r>
              <w:rPr>
                <w:rFonts w:hint="eastAsia" w:ascii="宋体" w:hAnsi="宋体" w:cs="宋体"/>
                <w:szCs w:val="21"/>
              </w:rPr>
              <w:t>%，差不得分打分。</w:t>
            </w:r>
          </w:p>
        </w:tc>
      </w:tr>
      <w:tr w14:paraId="3965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vAlign w:val="center"/>
          </w:tcPr>
          <w:p w14:paraId="5E5E2C94">
            <w:pPr>
              <w:jc w:val="center"/>
              <w:outlineLvl w:val="2"/>
              <w:rPr>
                <w:rFonts w:ascii="宋体" w:hAnsi="宋体"/>
                <w:szCs w:val="21"/>
              </w:rPr>
            </w:pPr>
          </w:p>
        </w:tc>
        <w:tc>
          <w:tcPr>
            <w:tcW w:w="406" w:type="pct"/>
            <w:vAlign w:val="center"/>
          </w:tcPr>
          <w:p w14:paraId="6F722CE9">
            <w:pPr>
              <w:jc w:val="center"/>
              <w:rPr>
                <w:rFonts w:ascii="宋体" w:hAnsi="宋体"/>
                <w:szCs w:val="21"/>
              </w:rPr>
            </w:pPr>
            <w:r>
              <w:rPr>
                <w:rFonts w:ascii="宋体" w:hAnsi="宋体"/>
                <w:szCs w:val="21"/>
              </w:rPr>
              <w:t>2</w:t>
            </w:r>
          </w:p>
        </w:tc>
        <w:tc>
          <w:tcPr>
            <w:tcW w:w="783" w:type="pct"/>
            <w:vAlign w:val="center"/>
          </w:tcPr>
          <w:p w14:paraId="7F4E5CD3">
            <w:pPr>
              <w:jc w:val="center"/>
              <w:rPr>
                <w:rFonts w:ascii="宋体" w:hAnsi="宋体"/>
                <w:szCs w:val="21"/>
              </w:rPr>
            </w:pPr>
            <w:r>
              <w:rPr>
                <w:rFonts w:hint="eastAsia" w:ascii="宋体" w:hAnsi="宋体" w:cs="宋体"/>
                <w:kern w:val="0"/>
                <w:szCs w:val="21"/>
              </w:rPr>
              <w:t>技术规格偏离情况</w:t>
            </w:r>
          </w:p>
        </w:tc>
        <w:tc>
          <w:tcPr>
            <w:tcW w:w="394" w:type="pct"/>
            <w:vAlign w:val="center"/>
          </w:tcPr>
          <w:p w14:paraId="6DD1DC35">
            <w:pPr>
              <w:jc w:val="center"/>
              <w:rPr>
                <w:rFonts w:ascii="宋体" w:hAnsi="宋体"/>
                <w:szCs w:val="21"/>
              </w:rPr>
            </w:pPr>
            <w:r>
              <w:rPr>
                <w:rFonts w:hint="eastAsia" w:ascii="宋体" w:hAnsi="宋体" w:cs="宋体"/>
                <w:szCs w:val="21"/>
              </w:rPr>
              <w:t>45</w:t>
            </w:r>
          </w:p>
        </w:tc>
        <w:tc>
          <w:tcPr>
            <w:tcW w:w="630" w:type="pct"/>
            <w:vAlign w:val="center"/>
          </w:tcPr>
          <w:p w14:paraId="0E191914">
            <w:pPr>
              <w:jc w:val="center"/>
              <w:rPr>
                <w:rFonts w:ascii="宋体" w:hAnsi="宋体"/>
                <w:szCs w:val="21"/>
              </w:rPr>
            </w:pPr>
            <w:r>
              <w:rPr>
                <w:rFonts w:hint="eastAsia" w:ascii="宋体" w:hAnsi="宋体"/>
                <w:szCs w:val="21"/>
              </w:rPr>
              <w:t>评委评分</w:t>
            </w:r>
          </w:p>
        </w:tc>
        <w:tc>
          <w:tcPr>
            <w:tcW w:w="2401" w:type="pct"/>
            <w:vAlign w:val="center"/>
          </w:tcPr>
          <w:p w14:paraId="0FAD21B3">
            <w:pPr>
              <w:rPr>
                <w:rFonts w:ascii="宋体" w:hAnsi="宋体" w:cs="宋体"/>
                <w:szCs w:val="21"/>
              </w:rPr>
            </w:pPr>
            <w:r>
              <w:rPr>
                <w:rFonts w:hint="eastAsia" w:ascii="宋体" w:hAnsi="宋体" w:cs="宋体"/>
                <w:szCs w:val="21"/>
              </w:rPr>
              <w:t>投标人应如实填写《技术规格偏离表》，评审委员会根据技术需求参数响应情况进行打分，各项技术参数指标及要求全部满足的得</w:t>
            </w:r>
            <w:r>
              <w:rPr>
                <w:rFonts w:ascii="宋体" w:hAnsi="宋体"/>
                <w:szCs w:val="21"/>
              </w:rPr>
              <w:t>100</w:t>
            </w:r>
            <w:r>
              <w:rPr>
                <w:rFonts w:hint="eastAsia" w:ascii="宋体" w:hAnsi="宋体" w:cs="宋体"/>
                <w:szCs w:val="21"/>
              </w:rPr>
              <w:t>%，技术参数每负偏离一项扣</w:t>
            </w:r>
            <w:r>
              <w:rPr>
                <w:rFonts w:ascii="宋体" w:hAnsi="宋体" w:cs="宋体"/>
                <w:szCs w:val="21"/>
              </w:rPr>
              <w:t>10</w:t>
            </w:r>
            <w:r>
              <w:rPr>
                <w:rFonts w:hint="eastAsia" w:ascii="宋体" w:hAnsi="宋体" w:cs="宋体"/>
                <w:szCs w:val="21"/>
              </w:rPr>
              <w:t>%，扣完为止。</w:t>
            </w:r>
          </w:p>
        </w:tc>
      </w:tr>
      <w:tr w14:paraId="5D73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vAlign w:val="center"/>
          </w:tcPr>
          <w:p w14:paraId="20BAE68C">
            <w:pPr>
              <w:jc w:val="center"/>
              <w:rPr>
                <w:rFonts w:ascii="宋体" w:hAnsi="宋体"/>
                <w:szCs w:val="21"/>
              </w:rPr>
            </w:pPr>
          </w:p>
        </w:tc>
        <w:tc>
          <w:tcPr>
            <w:tcW w:w="406" w:type="pct"/>
            <w:vAlign w:val="center"/>
          </w:tcPr>
          <w:p w14:paraId="3C4BAB67">
            <w:pPr>
              <w:jc w:val="center"/>
              <w:rPr>
                <w:rFonts w:ascii="宋体" w:hAnsi="宋体"/>
                <w:szCs w:val="21"/>
              </w:rPr>
            </w:pPr>
            <w:r>
              <w:rPr>
                <w:rFonts w:ascii="宋体" w:hAnsi="宋体"/>
                <w:szCs w:val="21"/>
              </w:rPr>
              <w:t>3</w:t>
            </w:r>
          </w:p>
        </w:tc>
        <w:tc>
          <w:tcPr>
            <w:tcW w:w="783" w:type="pct"/>
            <w:vAlign w:val="center"/>
          </w:tcPr>
          <w:p w14:paraId="40AD10BC">
            <w:pPr>
              <w:jc w:val="center"/>
              <w:rPr>
                <w:rFonts w:ascii="宋体" w:hAnsi="宋体"/>
                <w:szCs w:val="21"/>
              </w:rPr>
            </w:pPr>
            <w:r>
              <w:rPr>
                <w:rFonts w:hint="eastAsia" w:ascii="宋体" w:hAnsi="宋体"/>
                <w:szCs w:val="21"/>
              </w:rPr>
              <w:t>环保节能</w:t>
            </w:r>
          </w:p>
        </w:tc>
        <w:tc>
          <w:tcPr>
            <w:tcW w:w="394" w:type="pct"/>
            <w:vAlign w:val="center"/>
          </w:tcPr>
          <w:p w14:paraId="73B267E4">
            <w:pPr>
              <w:jc w:val="center"/>
              <w:rPr>
                <w:rFonts w:ascii="宋体" w:hAnsi="宋体"/>
                <w:szCs w:val="21"/>
              </w:rPr>
            </w:pPr>
            <w:r>
              <w:rPr>
                <w:rFonts w:hint="eastAsia" w:ascii="宋体" w:hAnsi="宋体"/>
                <w:szCs w:val="21"/>
              </w:rPr>
              <w:t>1</w:t>
            </w:r>
          </w:p>
        </w:tc>
        <w:tc>
          <w:tcPr>
            <w:tcW w:w="630" w:type="pct"/>
            <w:vAlign w:val="center"/>
          </w:tcPr>
          <w:p w14:paraId="7CD44212">
            <w:pPr>
              <w:jc w:val="center"/>
              <w:rPr>
                <w:rFonts w:ascii="宋体" w:hAnsi="宋体"/>
                <w:szCs w:val="21"/>
              </w:rPr>
            </w:pPr>
            <w:r>
              <w:rPr>
                <w:rFonts w:hint="eastAsia" w:ascii="宋体" w:hAnsi="宋体"/>
                <w:szCs w:val="21"/>
              </w:rPr>
              <w:t>评委评分</w:t>
            </w:r>
          </w:p>
        </w:tc>
        <w:tc>
          <w:tcPr>
            <w:tcW w:w="2401" w:type="pct"/>
            <w:vAlign w:val="center"/>
          </w:tcPr>
          <w:p w14:paraId="55B8952C">
            <w:pPr>
              <w:rPr>
                <w:rFonts w:ascii="宋体" w:hAnsi="宋体"/>
                <w:szCs w:val="21"/>
              </w:rPr>
            </w:pPr>
            <w:r>
              <w:rPr>
                <w:rFonts w:hint="eastAsia" w:ascii="宋体" w:hAnsi="宋体"/>
                <w:szCs w:val="21"/>
              </w:rPr>
              <w:t>产品属于以下情形之一的可得满分：1、属于政府采购节能产品品目清单范围且获得认证证书；2、属于政府采购</w:t>
            </w:r>
            <w:r>
              <w:rPr>
                <w:rFonts w:ascii="宋体" w:hAnsi="宋体"/>
                <w:szCs w:val="21"/>
              </w:rPr>
              <w:t>环境标志产品</w:t>
            </w:r>
            <w:r>
              <w:rPr>
                <w:rFonts w:hint="eastAsia" w:ascii="宋体" w:hAnsi="宋体"/>
                <w:szCs w:val="21"/>
              </w:rPr>
              <w:t>品目清单范围且获得认证证书；3、市水务局、市市场监管局、市</w:t>
            </w:r>
            <w:r>
              <w:rPr>
                <w:rFonts w:hint="eastAsia" w:ascii="宋体" w:hAnsi="宋体"/>
                <w:szCs w:val="21"/>
                <w:lang w:eastAsia="zh-CN"/>
              </w:rPr>
              <w:t>住房和建设局</w:t>
            </w:r>
            <w:r>
              <w:rPr>
                <w:rFonts w:hint="eastAsia" w:ascii="宋体" w:hAnsi="宋体"/>
                <w:szCs w:val="21"/>
              </w:rPr>
              <w:t>共同制定的《深圳市节水型工艺、设备、器具名录》；投标文件中提供相应证明文件，未提供不得分。</w:t>
            </w:r>
          </w:p>
          <w:p w14:paraId="281644E4">
            <w:pPr>
              <w:rPr>
                <w:rFonts w:ascii="宋体" w:hAnsi="宋体"/>
                <w:b/>
                <w:szCs w:val="21"/>
              </w:rPr>
            </w:pPr>
            <w:r>
              <w:rPr>
                <w:rFonts w:hint="eastAsia" w:ascii="宋体" w:hAnsi="宋体"/>
                <w:b/>
                <w:szCs w:val="21"/>
              </w:rPr>
              <w:t>证明文件：</w:t>
            </w:r>
          </w:p>
          <w:p w14:paraId="668F2DB3">
            <w:pPr>
              <w:rPr>
                <w:rFonts w:ascii="宋体" w:hAnsi="宋体"/>
                <w:szCs w:val="21"/>
              </w:rPr>
            </w:pPr>
            <w:r>
              <w:rPr>
                <w:rFonts w:hint="eastAsia" w:ascii="宋体" w:hAnsi="宋体"/>
                <w:szCs w:val="21"/>
              </w:rPr>
              <w:t>1、财政部等部门发布的节能产品政府采购品目清单、环境标志产品政府采购品目清单截图；</w:t>
            </w:r>
          </w:p>
          <w:p w14:paraId="30203473">
            <w:pPr>
              <w:rPr>
                <w:rFonts w:ascii="宋体" w:hAnsi="宋体"/>
                <w:szCs w:val="21"/>
              </w:rPr>
            </w:pPr>
            <w:r>
              <w:rPr>
                <w:rFonts w:hint="eastAsia" w:ascii="宋体" w:hAnsi="宋体"/>
                <w:szCs w:val="21"/>
              </w:rPr>
              <w:t>2、市场监管总局发布的参与实施政府采购节能产品、环境标志产品认证机构名录截图；</w:t>
            </w:r>
          </w:p>
          <w:p w14:paraId="6D7A8311">
            <w:pPr>
              <w:rPr>
                <w:rFonts w:ascii="宋体" w:hAnsi="宋体"/>
                <w:szCs w:val="21"/>
              </w:rPr>
            </w:pPr>
            <w:r>
              <w:rPr>
                <w:rFonts w:hint="eastAsia" w:ascii="宋体" w:hAnsi="宋体"/>
                <w:szCs w:val="21"/>
              </w:rPr>
              <w:t>3、上述认证机构出具的、处于有效期之内的节能产品、环境标志产品认证证书复印件；</w:t>
            </w:r>
          </w:p>
          <w:p w14:paraId="18A251A4">
            <w:pPr>
              <w:rPr>
                <w:rFonts w:ascii="宋体" w:hAnsi="宋体" w:cs="宋体"/>
                <w:szCs w:val="21"/>
              </w:rPr>
            </w:pPr>
            <w:r>
              <w:rPr>
                <w:rFonts w:hint="eastAsia" w:ascii="宋体" w:hAnsi="宋体"/>
                <w:szCs w:val="21"/>
              </w:rPr>
              <w:t>4、深圳市节水型工艺、设备、器具名录清单复印件。</w:t>
            </w:r>
          </w:p>
        </w:tc>
      </w:tr>
      <w:tr w14:paraId="6E67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vAlign w:val="center"/>
          </w:tcPr>
          <w:p w14:paraId="66F6CDE1">
            <w:pPr>
              <w:jc w:val="center"/>
              <w:outlineLvl w:val="2"/>
              <w:rPr>
                <w:rFonts w:ascii="宋体" w:hAnsi="宋体"/>
                <w:szCs w:val="21"/>
              </w:rPr>
            </w:pPr>
          </w:p>
        </w:tc>
        <w:tc>
          <w:tcPr>
            <w:tcW w:w="406" w:type="pct"/>
            <w:vAlign w:val="center"/>
          </w:tcPr>
          <w:p w14:paraId="30C5F3FC">
            <w:pPr>
              <w:jc w:val="center"/>
              <w:rPr>
                <w:rFonts w:ascii="宋体" w:hAnsi="宋体"/>
                <w:szCs w:val="21"/>
              </w:rPr>
            </w:pPr>
            <w:r>
              <w:rPr>
                <w:rFonts w:ascii="宋体" w:hAnsi="宋体"/>
                <w:szCs w:val="21"/>
              </w:rPr>
              <w:t>4</w:t>
            </w:r>
          </w:p>
        </w:tc>
        <w:tc>
          <w:tcPr>
            <w:tcW w:w="783" w:type="pct"/>
            <w:vAlign w:val="center"/>
          </w:tcPr>
          <w:p w14:paraId="7672B0C0">
            <w:pPr>
              <w:jc w:val="center"/>
              <w:rPr>
                <w:rFonts w:ascii="宋体" w:hAnsi="宋体"/>
                <w:szCs w:val="21"/>
              </w:rPr>
            </w:pPr>
            <w:r>
              <w:rPr>
                <w:rFonts w:hint="eastAsia" w:ascii="宋体" w:hAnsi="宋体"/>
                <w:szCs w:val="21"/>
              </w:rPr>
              <w:t>获奖情况</w:t>
            </w:r>
          </w:p>
        </w:tc>
        <w:tc>
          <w:tcPr>
            <w:tcW w:w="394" w:type="pct"/>
            <w:vAlign w:val="center"/>
          </w:tcPr>
          <w:p w14:paraId="18D0C643">
            <w:pPr>
              <w:jc w:val="center"/>
              <w:rPr>
                <w:rFonts w:ascii="宋体" w:hAnsi="宋体"/>
                <w:szCs w:val="21"/>
              </w:rPr>
            </w:pPr>
            <w:r>
              <w:rPr>
                <w:rFonts w:hint="eastAsia" w:ascii="宋体" w:hAnsi="宋体"/>
                <w:szCs w:val="21"/>
              </w:rPr>
              <w:t>1</w:t>
            </w:r>
          </w:p>
        </w:tc>
        <w:tc>
          <w:tcPr>
            <w:tcW w:w="630" w:type="pct"/>
            <w:vAlign w:val="center"/>
          </w:tcPr>
          <w:p w14:paraId="134DAC95">
            <w:pPr>
              <w:jc w:val="center"/>
              <w:rPr>
                <w:rFonts w:ascii="宋体" w:hAnsi="宋体"/>
                <w:szCs w:val="21"/>
              </w:rPr>
            </w:pPr>
            <w:r>
              <w:rPr>
                <w:rFonts w:hint="eastAsia" w:ascii="宋体" w:hAnsi="宋体"/>
                <w:szCs w:val="21"/>
              </w:rPr>
              <w:t>评委评分</w:t>
            </w:r>
          </w:p>
        </w:tc>
        <w:tc>
          <w:tcPr>
            <w:tcW w:w="2401" w:type="pct"/>
            <w:vAlign w:val="center"/>
          </w:tcPr>
          <w:p w14:paraId="21C083B5">
            <w:pPr>
              <w:rPr>
                <w:rFonts w:ascii="宋体" w:hAnsi="宋体"/>
                <w:szCs w:val="21"/>
              </w:rPr>
            </w:pPr>
            <w:r>
              <w:rPr>
                <w:rFonts w:hint="eastAsia" w:ascii="宋体" w:hAnsi="宋体"/>
                <w:szCs w:val="21"/>
              </w:rPr>
              <w:t>根据广东省委办公厅、省政府办公厅《关于</w:t>
            </w:r>
            <w:bookmarkStart w:id="9" w:name="_GoBack"/>
            <w:bookmarkEnd w:id="9"/>
            <w:r>
              <w:rPr>
                <w:rFonts w:hint="eastAsia" w:ascii="宋体" w:hAnsi="宋体"/>
                <w:szCs w:val="21"/>
              </w:rPr>
              <w:t>促进民营经济高质量发展的若干政策措施》（粤办发[2018]43号），投标单位获得国家行政主管部门认定的中国质量奖、中国专利奖、中国版权金奖、中国商标金奖、制造业单项冠军、绿色工厂等奖项的，得100%。提供相关获奖认定证明复印件。</w:t>
            </w:r>
          </w:p>
        </w:tc>
      </w:tr>
      <w:tr w14:paraId="5A2E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1667C4FA">
            <w:pPr>
              <w:jc w:val="center"/>
              <w:rPr>
                <w:rFonts w:ascii="宋体" w:hAnsi="宋体"/>
                <w:b/>
                <w:szCs w:val="21"/>
              </w:rPr>
            </w:pPr>
            <w:r>
              <w:rPr>
                <w:rFonts w:ascii="宋体" w:hAnsi="宋体"/>
                <w:b/>
                <w:szCs w:val="21"/>
              </w:rPr>
              <w:t>3</w:t>
            </w:r>
          </w:p>
        </w:tc>
        <w:tc>
          <w:tcPr>
            <w:tcW w:w="2213" w:type="pct"/>
            <w:gridSpan w:val="4"/>
            <w:vAlign w:val="center"/>
          </w:tcPr>
          <w:p w14:paraId="6C10CCF5">
            <w:pPr>
              <w:jc w:val="center"/>
              <w:rPr>
                <w:rFonts w:ascii="宋体" w:hAnsi="宋体"/>
                <w:b/>
                <w:szCs w:val="21"/>
              </w:rPr>
            </w:pPr>
            <w:r>
              <w:rPr>
                <w:rFonts w:hint="eastAsia" w:ascii="宋体" w:hAnsi="宋体"/>
                <w:b/>
                <w:szCs w:val="21"/>
              </w:rPr>
              <w:t>商务部分</w:t>
            </w:r>
          </w:p>
        </w:tc>
        <w:tc>
          <w:tcPr>
            <w:tcW w:w="2401" w:type="pct"/>
            <w:vAlign w:val="center"/>
          </w:tcPr>
          <w:p w14:paraId="57D1E228">
            <w:pPr>
              <w:jc w:val="center"/>
              <w:rPr>
                <w:rFonts w:ascii="宋体" w:hAnsi="宋体" w:cs="宋体"/>
                <w:b/>
                <w:szCs w:val="21"/>
              </w:rPr>
            </w:pPr>
            <w:r>
              <w:rPr>
                <w:rFonts w:hint="eastAsia" w:ascii="宋体" w:hAnsi="宋体" w:cs="宋体"/>
                <w:b/>
                <w:szCs w:val="21"/>
              </w:rPr>
              <w:t>15</w:t>
            </w:r>
          </w:p>
        </w:tc>
      </w:tr>
      <w:tr w14:paraId="5F7D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restart"/>
            <w:vAlign w:val="center"/>
          </w:tcPr>
          <w:p w14:paraId="76BF7164">
            <w:pPr>
              <w:jc w:val="center"/>
              <w:outlineLvl w:val="0"/>
              <w:rPr>
                <w:rFonts w:ascii="宋体" w:hAnsi="宋体"/>
                <w:szCs w:val="21"/>
              </w:rPr>
            </w:pPr>
          </w:p>
        </w:tc>
        <w:tc>
          <w:tcPr>
            <w:tcW w:w="406" w:type="pct"/>
            <w:vAlign w:val="center"/>
          </w:tcPr>
          <w:p w14:paraId="2DC77ABB">
            <w:pPr>
              <w:jc w:val="center"/>
              <w:rPr>
                <w:rFonts w:ascii="宋体" w:hAnsi="宋体"/>
                <w:b/>
                <w:szCs w:val="21"/>
              </w:rPr>
            </w:pPr>
            <w:r>
              <w:rPr>
                <w:rFonts w:hint="eastAsia" w:ascii="宋体" w:hAnsi="宋体"/>
                <w:b/>
                <w:szCs w:val="21"/>
              </w:rPr>
              <w:t>序号</w:t>
            </w:r>
          </w:p>
        </w:tc>
        <w:tc>
          <w:tcPr>
            <w:tcW w:w="783" w:type="pct"/>
            <w:vAlign w:val="center"/>
          </w:tcPr>
          <w:p w14:paraId="2646A1E5">
            <w:pPr>
              <w:jc w:val="center"/>
              <w:rPr>
                <w:rFonts w:ascii="宋体" w:hAnsi="宋体"/>
                <w:b/>
                <w:szCs w:val="21"/>
              </w:rPr>
            </w:pPr>
            <w:r>
              <w:rPr>
                <w:rFonts w:hint="eastAsia" w:ascii="宋体" w:hAnsi="宋体"/>
                <w:b/>
                <w:szCs w:val="21"/>
              </w:rPr>
              <w:t>评分因素</w:t>
            </w:r>
          </w:p>
        </w:tc>
        <w:tc>
          <w:tcPr>
            <w:tcW w:w="394" w:type="pct"/>
            <w:vAlign w:val="center"/>
          </w:tcPr>
          <w:p w14:paraId="7825E8B6">
            <w:pPr>
              <w:jc w:val="center"/>
              <w:rPr>
                <w:rFonts w:ascii="宋体" w:hAnsi="宋体"/>
                <w:b/>
                <w:szCs w:val="21"/>
              </w:rPr>
            </w:pPr>
            <w:r>
              <w:rPr>
                <w:rFonts w:hint="eastAsia" w:ascii="宋体" w:hAnsi="宋体"/>
                <w:b/>
                <w:szCs w:val="21"/>
              </w:rPr>
              <w:t>权重</w:t>
            </w:r>
          </w:p>
        </w:tc>
        <w:tc>
          <w:tcPr>
            <w:tcW w:w="630" w:type="pct"/>
            <w:vAlign w:val="center"/>
          </w:tcPr>
          <w:p w14:paraId="0A8C2FE5">
            <w:pPr>
              <w:jc w:val="center"/>
              <w:rPr>
                <w:rFonts w:ascii="宋体" w:hAnsi="宋体"/>
                <w:b/>
                <w:szCs w:val="21"/>
              </w:rPr>
            </w:pPr>
            <w:r>
              <w:rPr>
                <w:rFonts w:hint="eastAsia" w:ascii="宋体" w:hAnsi="宋体"/>
                <w:b/>
                <w:szCs w:val="21"/>
              </w:rPr>
              <w:t>评分方式</w:t>
            </w:r>
          </w:p>
        </w:tc>
        <w:tc>
          <w:tcPr>
            <w:tcW w:w="2401" w:type="pct"/>
            <w:vAlign w:val="center"/>
          </w:tcPr>
          <w:p w14:paraId="62E8116A">
            <w:pPr>
              <w:jc w:val="center"/>
              <w:rPr>
                <w:rFonts w:ascii="宋体" w:hAnsi="宋体"/>
                <w:b/>
                <w:szCs w:val="21"/>
              </w:rPr>
            </w:pPr>
            <w:r>
              <w:rPr>
                <w:rFonts w:hint="eastAsia" w:ascii="宋体" w:hAnsi="宋体"/>
                <w:b/>
                <w:szCs w:val="21"/>
              </w:rPr>
              <w:t>评分准则</w:t>
            </w:r>
          </w:p>
        </w:tc>
      </w:tr>
      <w:tr w14:paraId="4B3B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vAlign w:val="center"/>
          </w:tcPr>
          <w:p w14:paraId="6FCD292A">
            <w:pPr>
              <w:jc w:val="center"/>
              <w:outlineLvl w:val="0"/>
              <w:rPr>
                <w:rFonts w:ascii="宋体" w:hAnsi="宋体"/>
                <w:szCs w:val="21"/>
              </w:rPr>
            </w:pPr>
          </w:p>
        </w:tc>
        <w:tc>
          <w:tcPr>
            <w:tcW w:w="406" w:type="pct"/>
            <w:vAlign w:val="center"/>
          </w:tcPr>
          <w:p w14:paraId="0A121238">
            <w:pPr>
              <w:jc w:val="center"/>
              <w:rPr>
                <w:rFonts w:ascii="宋体" w:hAnsi="宋体"/>
                <w:szCs w:val="21"/>
              </w:rPr>
            </w:pPr>
            <w:r>
              <w:rPr>
                <w:rFonts w:ascii="宋体" w:hAnsi="宋体"/>
                <w:szCs w:val="21"/>
              </w:rPr>
              <w:t>1</w:t>
            </w:r>
          </w:p>
        </w:tc>
        <w:tc>
          <w:tcPr>
            <w:tcW w:w="783" w:type="pct"/>
            <w:vAlign w:val="center"/>
          </w:tcPr>
          <w:p w14:paraId="173C6B1A">
            <w:pPr>
              <w:jc w:val="center"/>
              <w:rPr>
                <w:rFonts w:ascii="宋体" w:hAnsi="宋体"/>
                <w:szCs w:val="21"/>
              </w:rPr>
            </w:pPr>
            <w:r>
              <w:rPr>
                <w:rFonts w:hint="eastAsia" w:ascii="宋体" w:hAnsi="宋体"/>
                <w:szCs w:val="21"/>
              </w:rPr>
              <w:t>免费保修期内售后服务条款偏离情况</w:t>
            </w:r>
          </w:p>
        </w:tc>
        <w:tc>
          <w:tcPr>
            <w:tcW w:w="394" w:type="pct"/>
            <w:vAlign w:val="center"/>
          </w:tcPr>
          <w:p w14:paraId="29232144">
            <w:pPr>
              <w:jc w:val="center"/>
              <w:rPr>
                <w:rFonts w:ascii="宋体" w:hAnsi="宋体" w:cs="宋体"/>
                <w:szCs w:val="21"/>
              </w:rPr>
            </w:pPr>
            <w:r>
              <w:rPr>
                <w:rFonts w:hint="eastAsia" w:ascii="宋体" w:hAnsi="宋体" w:cs="宋体"/>
                <w:szCs w:val="21"/>
              </w:rPr>
              <w:t>5</w:t>
            </w:r>
          </w:p>
        </w:tc>
        <w:tc>
          <w:tcPr>
            <w:tcW w:w="630" w:type="pct"/>
            <w:vAlign w:val="center"/>
          </w:tcPr>
          <w:p w14:paraId="32D7DAAC">
            <w:pPr>
              <w:jc w:val="center"/>
              <w:rPr>
                <w:rFonts w:ascii="宋体" w:hAnsi="宋体"/>
                <w:szCs w:val="21"/>
              </w:rPr>
            </w:pPr>
            <w:r>
              <w:rPr>
                <w:rFonts w:hint="eastAsia" w:ascii="宋体" w:hAnsi="宋体"/>
                <w:szCs w:val="21"/>
              </w:rPr>
              <w:t>评委评分</w:t>
            </w:r>
          </w:p>
        </w:tc>
        <w:tc>
          <w:tcPr>
            <w:tcW w:w="2401" w:type="pct"/>
            <w:vAlign w:val="center"/>
          </w:tcPr>
          <w:p w14:paraId="1234B119">
            <w:pPr>
              <w:rPr>
                <w:rFonts w:ascii="宋体" w:hAnsi="宋体" w:cs="宋体"/>
                <w:szCs w:val="21"/>
              </w:rPr>
            </w:pPr>
            <w:r>
              <w:rPr>
                <w:rFonts w:hint="eastAsia" w:ascii="宋体" w:hAnsi="宋体" w:cs="宋体"/>
                <w:szCs w:val="21"/>
              </w:rPr>
              <w:t>1.投标人应如实填写《免费保修期内售后服务条款偏离表》，评审委员会根据响应情况进行打分。满足免费保修期的得30%，每增加一年加10%，最高得60%。</w:t>
            </w:r>
          </w:p>
          <w:p w14:paraId="72A0E124">
            <w:pPr>
              <w:rPr>
                <w:rFonts w:ascii="宋体" w:hAnsi="宋体"/>
                <w:szCs w:val="21"/>
              </w:rPr>
            </w:pPr>
            <w:r>
              <w:rPr>
                <w:rFonts w:hint="eastAsia" w:ascii="宋体" w:hAnsi="宋体" w:cs="宋体"/>
                <w:szCs w:val="21"/>
              </w:rPr>
              <w:t>2.其他要求全部满足要求的得</w:t>
            </w:r>
            <w:r>
              <w:rPr>
                <w:rFonts w:hint="eastAsia" w:ascii="宋体" w:hAnsi="宋体"/>
                <w:szCs w:val="21"/>
              </w:rPr>
              <w:t>40</w:t>
            </w:r>
            <w:r>
              <w:rPr>
                <w:rFonts w:hint="eastAsia" w:ascii="宋体" w:hAnsi="宋体" w:cs="宋体"/>
                <w:szCs w:val="21"/>
              </w:rPr>
              <w:t>%，每负偏离一项扣20%。</w:t>
            </w:r>
          </w:p>
        </w:tc>
      </w:tr>
      <w:tr w14:paraId="6BD7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vAlign w:val="center"/>
          </w:tcPr>
          <w:p w14:paraId="1A9D0DF4">
            <w:pPr>
              <w:jc w:val="center"/>
              <w:outlineLvl w:val="2"/>
              <w:rPr>
                <w:rFonts w:ascii="宋体" w:hAnsi="宋体"/>
                <w:szCs w:val="21"/>
              </w:rPr>
            </w:pPr>
          </w:p>
        </w:tc>
        <w:tc>
          <w:tcPr>
            <w:tcW w:w="406" w:type="pct"/>
            <w:vAlign w:val="center"/>
          </w:tcPr>
          <w:p w14:paraId="44653EDA">
            <w:pPr>
              <w:jc w:val="center"/>
              <w:rPr>
                <w:rFonts w:ascii="宋体" w:hAnsi="宋体"/>
                <w:szCs w:val="21"/>
              </w:rPr>
            </w:pPr>
            <w:r>
              <w:rPr>
                <w:rFonts w:ascii="宋体" w:hAnsi="宋体"/>
                <w:szCs w:val="21"/>
              </w:rPr>
              <w:t>2</w:t>
            </w:r>
          </w:p>
        </w:tc>
        <w:tc>
          <w:tcPr>
            <w:tcW w:w="783" w:type="pct"/>
            <w:vAlign w:val="center"/>
          </w:tcPr>
          <w:p w14:paraId="52231478">
            <w:pPr>
              <w:jc w:val="center"/>
              <w:rPr>
                <w:rFonts w:ascii="宋体" w:hAnsi="宋体" w:cs="宋体"/>
                <w:szCs w:val="21"/>
              </w:rPr>
            </w:pPr>
            <w:r>
              <w:rPr>
                <w:rFonts w:hint="eastAsia" w:ascii="宋体" w:hAnsi="宋体" w:cs="宋体"/>
                <w:szCs w:val="21"/>
              </w:rPr>
              <w:t>免费保修期外售后服务条款偏离情况</w:t>
            </w:r>
          </w:p>
        </w:tc>
        <w:tc>
          <w:tcPr>
            <w:tcW w:w="394" w:type="pct"/>
            <w:vAlign w:val="center"/>
          </w:tcPr>
          <w:p w14:paraId="6F150293">
            <w:pPr>
              <w:jc w:val="center"/>
              <w:rPr>
                <w:rFonts w:ascii="宋体" w:hAnsi="宋体" w:cs="宋体"/>
                <w:szCs w:val="21"/>
              </w:rPr>
            </w:pPr>
            <w:r>
              <w:rPr>
                <w:rFonts w:hint="eastAsia" w:ascii="宋体" w:hAnsi="宋体" w:cs="宋体"/>
                <w:szCs w:val="21"/>
              </w:rPr>
              <w:t>8</w:t>
            </w:r>
          </w:p>
        </w:tc>
        <w:tc>
          <w:tcPr>
            <w:tcW w:w="630" w:type="pct"/>
            <w:vAlign w:val="center"/>
          </w:tcPr>
          <w:p w14:paraId="156D5E4C">
            <w:pPr>
              <w:jc w:val="center"/>
              <w:rPr>
                <w:rFonts w:ascii="宋体" w:hAnsi="宋体"/>
                <w:szCs w:val="21"/>
              </w:rPr>
            </w:pPr>
            <w:r>
              <w:rPr>
                <w:rFonts w:hint="eastAsia" w:ascii="宋体" w:hAnsi="宋体"/>
                <w:szCs w:val="21"/>
              </w:rPr>
              <w:t>评委评分</w:t>
            </w:r>
          </w:p>
        </w:tc>
        <w:tc>
          <w:tcPr>
            <w:tcW w:w="2401" w:type="pct"/>
            <w:vAlign w:val="center"/>
          </w:tcPr>
          <w:p w14:paraId="04FFB042">
            <w:pPr>
              <w:rPr>
                <w:rFonts w:ascii="宋体" w:hAnsi="宋体" w:cs="宋体"/>
                <w:szCs w:val="21"/>
              </w:rPr>
            </w:pPr>
            <w:r>
              <w:rPr>
                <w:rFonts w:hint="eastAsia" w:ascii="宋体" w:hAnsi="宋体" w:cs="宋体"/>
                <w:szCs w:val="21"/>
              </w:rPr>
              <w:t>投标人应如实填写《免费保修期外售后服务条款偏离表》，评审委员会根据响应情况进行打分，每负偏离一项扣50%。</w:t>
            </w:r>
          </w:p>
        </w:tc>
      </w:tr>
      <w:tr w14:paraId="13CF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vAlign w:val="center"/>
          </w:tcPr>
          <w:p w14:paraId="4402A011">
            <w:pPr>
              <w:jc w:val="center"/>
              <w:outlineLvl w:val="2"/>
              <w:rPr>
                <w:rFonts w:ascii="宋体" w:hAnsi="宋体"/>
                <w:szCs w:val="21"/>
              </w:rPr>
            </w:pPr>
          </w:p>
        </w:tc>
        <w:tc>
          <w:tcPr>
            <w:tcW w:w="406" w:type="pct"/>
            <w:vAlign w:val="center"/>
          </w:tcPr>
          <w:p w14:paraId="2BA14090">
            <w:pPr>
              <w:jc w:val="center"/>
              <w:rPr>
                <w:rFonts w:ascii="宋体" w:hAnsi="宋体"/>
                <w:szCs w:val="21"/>
              </w:rPr>
            </w:pPr>
            <w:r>
              <w:rPr>
                <w:rFonts w:ascii="宋体" w:hAnsi="宋体"/>
                <w:szCs w:val="21"/>
              </w:rPr>
              <w:t>3</w:t>
            </w:r>
          </w:p>
        </w:tc>
        <w:tc>
          <w:tcPr>
            <w:tcW w:w="783" w:type="pct"/>
            <w:vAlign w:val="center"/>
          </w:tcPr>
          <w:p w14:paraId="467E75EF">
            <w:pPr>
              <w:jc w:val="center"/>
              <w:rPr>
                <w:rFonts w:ascii="宋体" w:hAnsi="宋体"/>
                <w:szCs w:val="21"/>
              </w:rPr>
            </w:pPr>
            <w:r>
              <w:rPr>
                <w:rFonts w:hint="eastAsia" w:ascii="宋体" w:hAnsi="宋体"/>
                <w:szCs w:val="21"/>
              </w:rPr>
              <w:t>其他商务条款偏离情况</w:t>
            </w:r>
          </w:p>
        </w:tc>
        <w:tc>
          <w:tcPr>
            <w:tcW w:w="394" w:type="pct"/>
            <w:vAlign w:val="center"/>
          </w:tcPr>
          <w:p w14:paraId="3B5F1C7B">
            <w:pPr>
              <w:jc w:val="center"/>
              <w:rPr>
                <w:rFonts w:ascii="宋体" w:hAnsi="宋体"/>
                <w:szCs w:val="21"/>
              </w:rPr>
            </w:pPr>
            <w:r>
              <w:rPr>
                <w:rFonts w:hint="eastAsia" w:ascii="宋体" w:hAnsi="宋体" w:cs="宋体"/>
                <w:szCs w:val="21"/>
              </w:rPr>
              <w:t>2</w:t>
            </w:r>
          </w:p>
        </w:tc>
        <w:tc>
          <w:tcPr>
            <w:tcW w:w="630" w:type="pct"/>
            <w:vAlign w:val="center"/>
          </w:tcPr>
          <w:p w14:paraId="5FC38600">
            <w:pPr>
              <w:jc w:val="center"/>
              <w:rPr>
                <w:rFonts w:ascii="宋体" w:hAnsi="宋体"/>
                <w:szCs w:val="21"/>
              </w:rPr>
            </w:pPr>
            <w:r>
              <w:rPr>
                <w:rFonts w:hint="eastAsia" w:ascii="宋体" w:hAnsi="宋体"/>
                <w:szCs w:val="21"/>
              </w:rPr>
              <w:t>评委评分</w:t>
            </w:r>
          </w:p>
        </w:tc>
        <w:tc>
          <w:tcPr>
            <w:tcW w:w="2401" w:type="pct"/>
            <w:vAlign w:val="center"/>
          </w:tcPr>
          <w:p w14:paraId="3118EC17">
            <w:pPr>
              <w:rPr>
                <w:rFonts w:ascii="宋体" w:hAnsi="宋体"/>
                <w:szCs w:val="21"/>
              </w:rPr>
            </w:pPr>
            <w:r>
              <w:rPr>
                <w:rFonts w:hint="eastAsia" w:ascii="宋体" w:hAnsi="宋体" w:cs="宋体"/>
                <w:szCs w:val="21"/>
              </w:rPr>
              <w:t>投标人应如实填写《其他商务条款偏离表》，评审委员会根据响应情况进行打分，全部满足要求的得</w:t>
            </w:r>
            <w:r>
              <w:rPr>
                <w:rFonts w:ascii="宋体" w:hAnsi="宋体"/>
                <w:szCs w:val="21"/>
              </w:rPr>
              <w:t>100</w:t>
            </w:r>
            <w:r>
              <w:rPr>
                <w:rFonts w:hint="eastAsia" w:ascii="宋体" w:hAnsi="宋体" w:cs="宋体"/>
                <w:szCs w:val="21"/>
              </w:rPr>
              <w:t>%，每负偏离一项扣10%。</w:t>
            </w:r>
          </w:p>
        </w:tc>
      </w:tr>
      <w:tr w14:paraId="252A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07837682">
            <w:pPr>
              <w:jc w:val="center"/>
              <w:rPr>
                <w:rFonts w:ascii="宋体" w:hAnsi="宋体"/>
                <w:b/>
                <w:szCs w:val="21"/>
              </w:rPr>
            </w:pPr>
            <w:r>
              <w:rPr>
                <w:rFonts w:ascii="宋体" w:hAnsi="宋体"/>
                <w:b/>
                <w:szCs w:val="21"/>
              </w:rPr>
              <w:t>4</w:t>
            </w:r>
          </w:p>
        </w:tc>
        <w:tc>
          <w:tcPr>
            <w:tcW w:w="2213" w:type="pct"/>
            <w:gridSpan w:val="4"/>
            <w:vAlign w:val="center"/>
          </w:tcPr>
          <w:p w14:paraId="5A84511D">
            <w:pPr>
              <w:jc w:val="center"/>
              <w:rPr>
                <w:rFonts w:ascii="宋体" w:hAnsi="宋体"/>
                <w:b/>
                <w:szCs w:val="21"/>
              </w:rPr>
            </w:pPr>
            <w:r>
              <w:rPr>
                <w:rFonts w:hint="eastAsia" w:ascii="宋体" w:hAnsi="宋体"/>
                <w:b/>
                <w:szCs w:val="21"/>
              </w:rPr>
              <w:t>诚信情况</w:t>
            </w:r>
          </w:p>
        </w:tc>
        <w:tc>
          <w:tcPr>
            <w:tcW w:w="2401" w:type="pct"/>
            <w:vAlign w:val="center"/>
          </w:tcPr>
          <w:p w14:paraId="55F68DDC">
            <w:pPr>
              <w:numPr>
                <w:ilvl w:val="12"/>
                <w:numId w:val="0"/>
              </w:numPr>
              <w:autoSpaceDE w:val="0"/>
              <w:autoSpaceDN w:val="0"/>
              <w:adjustRightInd w:val="0"/>
              <w:jc w:val="center"/>
              <w:textAlignment w:val="baseline"/>
              <w:rPr>
                <w:rFonts w:ascii="宋体" w:hAnsi="宋体"/>
                <w:b/>
                <w:kern w:val="0"/>
                <w:szCs w:val="21"/>
              </w:rPr>
            </w:pPr>
            <w:r>
              <w:rPr>
                <w:rFonts w:hint="eastAsia" w:ascii="宋体" w:hAnsi="宋体"/>
                <w:b/>
                <w:kern w:val="0"/>
                <w:szCs w:val="21"/>
              </w:rPr>
              <w:t>7</w:t>
            </w:r>
          </w:p>
        </w:tc>
      </w:tr>
      <w:tr w14:paraId="3F29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restart"/>
            <w:vAlign w:val="center"/>
          </w:tcPr>
          <w:p w14:paraId="4E267567">
            <w:pPr>
              <w:jc w:val="center"/>
              <w:rPr>
                <w:rFonts w:ascii="宋体" w:hAnsi="宋体"/>
                <w:b/>
                <w:szCs w:val="21"/>
              </w:rPr>
            </w:pPr>
          </w:p>
        </w:tc>
        <w:tc>
          <w:tcPr>
            <w:tcW w:w="406" w:type="pct"/>
            <w:vAlign w:val="center"/>
          </w:tcPr>
          <w:p w14:paraId="63C5AF1B">
            <w:pPr>
              <w:jc w:val="center"/>
              <w:rPr>
                <w:rFonts w:ascii="宋体" w:hAnsi="宋体"/>
                <w:b/>
                <w:szCs w:val="21"/>
              </w:rPr>
            </w:pPr>
            <w:r>
              <w:rPr>
                <w:rFonts w:hint="eastAsia" w:ascii="宋体" w:hAnsi="宋体"/>
                <w:b/>
                <w:szCs w:val="21"/>
              </w:rPr>
              <w:t>序号</w:t>
            </w:r>
          </w:p>
        </w:tc>
        <w:tc>
          <w:tcPr>
            <w:tcW w:w="783" w:type="pct"/>
            <w:vAlign w:val="center"/>
          </w:tcPr>
          <w:p w14:paraId="0C506A27">
            <w:pPr>
              <w:jc w:val="center"/>
              <w:rPr>
                <w:rFonts w:ascii="宋体" w:hAnsi="宋体"/>
                <w:b/>
                <w:szCs w:val="21"/>
              </w:rPr>
            </w:pPr>
            <w:r>
              <w:rPr>
                <w:rFonts w:hint="eastAsia" w:ascii="宋体" w:hAnsi="宋体"/>
                <w:b/>
                <w:szCs w:val="21"/>
              </w:rPr>
              <w:t>评分因素</w:t>
            </w:r>
          </w:p>
        </w:tc>
        <w:tc>
          <w:tcPr>
            <w:tcW w:w="394" w:type="pct"/>
            <w:vAlign w:val="center"/>
          </w:tcPr>
          <w:p w14:paraId="20FAFDC1">
            <w:pPr>
              <w:jc w:val="center"/>
              <w:rPr>
                <w:rFonts w:ascii="宋体" w:hAnsi="宋体"/>
                <w:b/>
                <w:szCs w:val="21"/>
              </w:rPr>
            </w:pPr>
            <w:r>
              <w:rPr>
                <w:rFonts w:hint="eastAsia" w:ascii="宋体" w:hAnsi="宋体"/>
                <w:b/>
                <w:szCs w:val="21"/>
              </w:rPr>
              <w:t>权重</w:t>
            </w:r>
          </w:p>
        </w:tc>
        <w:tc>
          <w:tcPr>
            <w:tcW w:w="630" w:type="pct"/>
            <w:vAlign w:val="center"/>
          </w:tcPr>
          <w:p w14:paraId="3A67BEF4">
            <w:pPr>
              <w:jc w:val="center"/>
              <w:rPr>
                <w:rFonts w:ascii="宋体" w:hAnsi="宋体"/>
                <w:b/>
                <w:szCs w:val="21"/>
              </w:rPr>
            </w:pPr>
            <w:r>
              <w:rPr>
                <w:rFonts w:hint="eastAsia" w:ascii="宋体" w:hAnsi="宋体"/>
                <w:b/>
                <w:szCs w:val="21"/>
              </w:rPr>
              <w:t>评分方式</w:t>
            </w:r>
          </w:p>
        </w:tc>
        <w:tc>
          <w:tcPr>
            <w:tcW w:w="2401" w:type="pct"/>
            <w:vAlign w:val="center"/>
          </w:tcPr>
          <w:p w14:paraId="35FF9315">
            <w:pPr>
              <w:jc w:val="center"/>
              <w:rPr>
                <w:rFonts w:ascii="宋体" w:hAnsi="宋体"/>
                <w:b/>
                <w:szCs w:val="21"/>
              </w:rPr>
            </w:pPr>
            <w:r>
              <w:rPr>
                <w:rFonts w:hint="eastAsia" w:ascii="宋体" w:hAnsi="宋体"/>
                <w:b/>
                <w:szCs w:val="21"/>
              </w:rPr>
              <w:t>评分准则</w:t>
            </w:r>
          </w:p>
        </w:tc>
      </w:tr>
      <w:tr w14:paraId="698E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vAlign w:val="center"/>
          </w:tcPr>
          <w:p w14:paraId="45C82A9C">
            <w:pPr>
              <w:jc w:val="center"/>
              <w:outlineLvl w:val="0"/>
              <w:rPr>
                <w:rFonts w:ascii="宋体" w:hAnsi="宋体"/>
                <w:szCs w:val="21"/>
              </w:rPr>
            </w:pPr>
          </w:p>
        </w:tc>
        <w:tc>
          <w:tcPr>
            <w:tcW w:w="406" w:type="pct"/>
            <w:vAlign w:val="center"/>
          </w:tcPr>
          <w:p w14:paraId="4CC2F9EB">
            <w:pPr>
              <w:jc w:val="center"/>
              <w:rPr>
                <w:rFonts w:ascii="宋体" w:hAnsi="宋体"/>
                <w:szCs w:val="21"/>
              </w:rPr>
            </w:pPr>
            <w:r>
              <w:rPr>
                <w:rFonts w:ascii="宋体" w:hAnsi="宋体"/>
                <w:szCs w:val="21"/>
              </w:rPr>
              <w:t>1</w:t>
            </w:r>
          </w:p>
        </w:tc>
        <w:tc>
          <w:tcPr>
            <w:tcW w:w="783" w:type="pct"/>
            <w:vAlign w:val="center"/>
          </w:tcPr>
          <w:p w14:paraId="04968C73">
            <w:pPr>
              <w:jc w:val="center"/>
              <w:rPr>
                <w:rFonts w:ascii="宋体" w:hAnsi="宋体"/>
                <w:szCs w:val="21"/>
              </w:rPr>
            </w:pPr>
            <w:r>
              <w:rPr>
                <w:rFonts w:hint="eastAsia" w:ascii="宋体" w:hAnsi="宋体"/>
                <w:szCs w:val="21"/>
              </w:rPr>
              <w:t>诚信</w:t>
            </w:r>
          </w:p>
        </w:tc>
        <w:tc>
          <w:tcPr>
            <w:tcW w:w="394" w:type="pct"/>
            <w:vAlign w:val="center"/>
          </w:tcPr>
          <w:p w14:paraId="686A34CC">
            <w:pPr>
              <w:jc w:val="center"/>
              <w:rPr>
                <w:rFonts w:ascii="宋体" w:hAnsi="宋体"/>
                <w:szCs w:val="21"/>
              </w:rPr>
            </w:pPr>
            <w:r>
              <w:rPr>
                <w:rFonts w:ascii="宋体" w:hAnsi="宋体"/>
                <w:szCs w:val="21"/>
              </w:rPr>
              <w:t>5</w:t>
            </w:r>
          </w:p>
        </w:tc>
        <w:tc>
          <w:tcPr>
            <w:tcW w:w="630" w:type="pct"/>
            <w:vAlign w:val="center"/>
          </w:tcPr>
          <w:p w14:paraId="5BA72C3B">
            <w:pPr>
              <w:jc w:val="center"/>
              <w:rPr>
                <w:rFonts w:ascii="宋体" w:hAnsi="宋体"/>
                <w:szCs w:val="21"/>
              </w:rPr>
            </w:pPr>
            <w:r>
              <w:rPr>
                <w:rFonts w:hint="eastAsia" w:ascii="宋体" w:hAnsi="宋体"/>
                <w:szCs w:val="21"/>
              </w:rPr>
              <w:t>评委评分</w:t>
            </w:r>
          </w:p>
        </w:tc>
        <w:tc>
          <w:tcPr>
            <w:tcW w:w="2401" w:type="pct"/>
          </w:tcPr>
          <w:p w14:paraId="6D3376FF">
            <w:pPr>
              <w:rPr>
                <w:rFonts w:ascii="宋体" w:hAnsi="宋体"/>
                <w:szCs w:val="21"/>
              </w:rPr>
            </w:pPr>
            <w:r>
              <w:rPr>
                <w:rFonts w:hint="eastAsia" w:ascii="宋体" w:hAnsi="宋体" w:cs="宋体"/>
                <w:szCs w:val="21"/>
              </w:rPr>
              <w:t>根据《深圳市财政委员会关于加强招投标评审环节诚信管理的通知》（深财购[2013]27号）和《深圳市财政委员会关于印发&lt;深圳市政府采购供应商诚信管理暂行办法操作细则&gt;的通知》(深财购[2017]42号)的要求，投标人在参与政府采购活动中存在诚信相关问题且在主管部门相关处理措施实施期限内的，本项不得分，否则得满分。投标人无需提供任何证明材料，由工作人员依据市采购中心系统查询结果向评审委员会提供相关信息。</w:t>
            </w:r>
          </w:p>
        </w:tc>
      </w:tr>
      <w:tr w14:paraId="55EB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vAlign w:val="center"/>
          </w:tcPr>
          <w:p w14:paraId="3C24BBC5">
            <w:pPr>
              <w:jc w:val="center"/>
              <w:outlineLvl w:val="2"/>
              <w:rPr>
                <w:rFonts w:ascii="宋体" w:hAnsi="宋体"/>
                <w:szCs w:val="21"/>
              </w:rPr>
            </w:pPr>
          </w:p>
        </w:tc>
        <w:tc>
          <w:tcPr>
            <w:tcW w:w="406" w:type="pct"/>
            <w:vAlign w:val="center"/>
          </w:tcPr>
          <w:p w14:paraId="4CEBF795">
            <w:pPr>
              <w:jc w:val="center"/>
              <w:rPr>
                <w:rFonts w:ascii="宋体" w:hAnsi="宋体"/>
                <w:szCs w:val="21"/>
              </w:rPr>
            </w:pPr>
            <w:r>
              <w:rPr>
                <w:rFonts w:hint="eastAsia" w:ascii="宋体" w:hAnsi="宋体"/>
                <w:szCs w:val="21"/>
              </w:rPr>
              <w:t>2</w:t>
            </w:r>
          </w:p>
        </w:tc>
        <w:tc>
          <w:tcPr>
            <w:tcW w:w="783" w:type="pct"/>
            <w:vAlign w:val="center"/>
          </w:tcPr>
          <w:p w14:paraId="483608B1">
            <w:pPr>
              <w:jc w:val="center"/>
              <w:rPr>
                <w:rFonts w:ascii="宋体" w:hAnsi="宋体"/>
                <w:szCs w:val="21"/>
              </w:rPr>
            </w:pPr>
            <w:r>
              <w:rPr>
                <w:rFonts w:hint="eastAsia" w:ascii="宋体" w:hAnsi="宋体"/>
                <w:szCs w:val="21"/>
              </w:rPr>
              <w:t>履约</w:t>
            </w:r>
          </w:p>
        </w:tc>
        <w:tc>
          <w:tcPr>
            <w:tcW w:w="394" w:type="pct"/>
            <w:vAlign w:val="center"/>
          </w:tcPr>
          <w:p w14:paraId="5D3D7D3E">
            <w:pPr>
              <w:jc w:val="center"/>
              <w:rPr>
                <w:rFonts w:ascii="宋体" w:hAnsi="宋体"/>
                <w:szCs w:val="21"/>
              </w:rPr>
            </w:pPr>
            <w:r>
              <w:rPr>
                <w:rFonts w:hint="eastAsia" w:ascii="宋体" w:hAnsi="宋体"/>
                <w:szCs w:val="21"/>
              </w:rPr>
              <w:t>2</w:t>
            </w:r>
          </w:p>
        </w:tc>
        <w:tc>
          <w:tcPr>
            <w:tcW w:w="630" w:type="pct"/>
            <w:vAlign w:val="center"/>
          </w:tcPr>
          <w:p w14:paraId="46FA9698">
            <w:pPr>
              <w:jc w:val="center"/>
              <w:rPr>
                <w:rFonts w:ascii="宋体" w:hAnsi="宋体"/>
                <w:szCs w:val="21"/>
              </w:rPr>
            </w:pPr>
            <w:r>
              <w:rPr>
                <w:rFonts w:hint="eastAsia" w:ascii="宋体" w:hAnsi="宋体"/>
                <w:szCs w:val="21"/>
              </w:rPr>
              <w:t>评委评分</w:t>
            </w:r>
          </w:p>
        </w:tc>
        <w:tc>
          <w:tcPr>
            <w:tcW w:w="2401" w:type="pct"/>
          </w:tcPr>
          <w:p w14:paraId="493C22D5">
            <w:pPr>
              <w:numPr>
                <w:ilvl w:val="12"/>
                <w:numId w:val="0"/>
              </w:numPr>
              <w:tabs>
                <w:tab w:val="left" w:pos="1125"/>
              </w:tabs>
              <w:autoSpaceDE w:val="0"/>
              <w:autoSpaceDN w:val="0"/>
              <w:adjustRightInd w:val="0"/>
              <w:textAlignment w:val="baseline"/>
              <w:rPr>
                <w:rFonts w:ascii="宋体" w:hAnsi="宋体" w:cs="宋体"/>
                <w:kern w:val="0"/>
                <w:szCs w:val="21"/>
              </w:rPr>
            </w:pPr>
            <w:r>
              <w:rPr>
                <w:rFonts w:hint="eastAsia" w:ascii="宋体" w:hAnsi="宋体" w:cs="宋体"/>
                <w:kern w:val="0"/>
                <w:szCs w:val="21"/>
              </w:rPr>
              <w:t>在市政府采购中心有履约评价为差的记录，本项不得分，否则，得满分。投标人无需提供任何证明材料，由工作人员依据市采购中心系统查询结果向评委会提供相关信息。</w:t>
            </w:r>
          </w:p>
        </w:tc>
      </w:tr>
    </w:tbl>
    <w:p w14:paraId="74875782">
      <w:pPr>
        <w:spacing w:line="340" w:lineRule="exact"/>
        <w:ind w:firstLine="422" w:firstLineChars="200"/>
        <w:rPr>
          <w:rFonts w:ascii="宋体" w:hAnsi="宋体"/>
          <w:szCs w:val="21"/>
        </w:rPr>
      </w:pPr>
      <w:r>
        <w:rPr>
          <w:rFonts w:hint="eastAsia" w:ascii="宋体" w:hAnsi="宋体"/>
          <w:b/>
          <w:szCs w:val="21"/>
        </w:rPr>
        <w:t>说明：</w:t>
      </w:r>
      <w:r>
        <w:rPr>
          <w:rFonts w:hint="eastAsia" w:ascii="宋体" w:hAnsi="宋体"/>
          <w:szCs w:val="21"/>
        </w:rPr>
        <w:t>1、本评分表中每一栏的得分最高不得超过该项评审指标的分值。2、表中要求提供相关计分证明文件的内容，投标文件中须明确加以说明，未按要求提供相关文件或说明不清楚的按不符合要求处理。</w:t>
      </w:r>
    </w:p>
    <w:p w14:paraId="0051BFC6">
      <w:pPr>
        <w:spacing w:line="360" w:lineRule="exact"/>
        <w:ind w:firstLine="422" w:firstLineChars="200"/>
        <w:rPr>
          <w:rFonts w:ascii="宋体" w:hAnsi="宋体"/>
          <w:b/>
          <w:szCs w:val="21"/>
        </w:rPr>
      </w:pPr>
      <w:r>
        <w:rPr>
          <w:rFonts w:hint="eastAsia" w:ascii="宋体" w:hAnsi="宋体"/>
          <w:b/>
          <w:szCs w:val="21"/>
        </w:rPr>
        <w:t>三、评标及定标程序</w:t>
      </w:r>
    </w:p>
    <w:p w14:paraId="7144819D">
      <w:pPr>
        <w:spacing w:line="360" w:lineRule="exact"/>
        <w:ind w:firstLine="422" w:firstLineChars="200"/>
        <w:rPr>
          <w:rFonts w:ascii="宋体" w:hAnsi="宋体"/>
          <w:b/>
          <w:szCs w:val="21"/>
        </w:rPr>
      </w:pPr>
      <w:r>
        <w:rPr>
          <w:rFonts w:hint="eastAsia" w:ascii="宋体" w:hAnsi="宋体"/>
          <w:b/>
          <w:szCs w:val="21"/>
        </w:rPr>
        <w:t>（一）授权评标委员会确定中标单位的方式</w:t>
      </w:r>
    </w:p>
    <w:p w14:paraId="0288928C">
      <w:pPr>
        <w:numPr>
          <w:ilvl w:val="0"/>
          <w:numId w:val="3"/>
        </w:numPr>
        <w:spacing w:line="360" w:lineRule="exact"/>
        <w:rPr>
          <w:rFonts w:ascii="宋体" w:hAnsi="宋体"/>
          <w:b/>
          <w:szCs w:val="21"/>
        </w:rPr>
      </w:pPr>
      <w:r>
        <w:rPr>
          <w:rFonts w:ascii="宋体" w:hAnsi="宋体"/>
          <w:b/>
          <w:szCs w:val="21"/>
        </w:rPr>
        <w:t>综合评分法</w:t>
      </w:r>
    </w:p>
    <w:p w14:paraId="525366F1">
      <w:pPr>
        <w:spacing w:line="360" w:lineRule="exact"/>
        <w:ind w:firstLine="422" w:firstLineChars="200"/>
        <w:rPr>
          <w:rFonts w:ascii="Calibri" w:hAnsi="Calibri"/>
          <w:b/>
          <w:szCs w:val="21"/>
        </w:rPr>
      </w:pPr>
      <w:r>
        <w:rPr>
          <w:rFonts w:hint="eastAsia" w:ascii="宋体" w:hAnsi="宋体"/>
          <w:b/>
          <w:szCs w:val="21"/>
        </w:rPr>
        <w:t>1、</w:t>
      </w:r>
      <w:r>
        <w:rPr>
          <w:rFonts w:ascii="Calibri" w:hAnsi="宋体"/>
          <w:b/>
          <w:szCs w:val="21"/>
        </w:rPr>
        <w:t>符合性检查</w:t>
      </w:r>
    </w:p>
    <w:p w14:paraId="3F424ED6">
      <w:pPr>
        <w:spacing w:line="360" w:lineRule="exact"/>
        <w:ind w:firstLine="420" w:firstLineChars="200"/>
        <w:rPr>
          <w:rFonts w:ascii="宋体" w:hAnsi="宋体"/>
          <w:bCs/>
          <w:szCs w:val="21"/>
        </w:rPr>
      </w:pPr>
      <w:r>
        <w:rPr>
          <w:rFonts w:hint="eastAsia" w:ascii="宋体" w:hAnsi="宋体"/>
          <w:bCs/>
          <w:szCs w:val="21"/>
        </w:rPr>
        <w:t>（1）</w:t>
      </w:r>
      <w:r>
        <w:rPr>
          <w:rFonts w:ascii="宋体" w:hAnsi="宋体"/>
          <w:bCs/>
          <w:szCs w:val="21"/>
        </w:rPr>
        <w:t>评标委员会根据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通过资格性核查的</w:t>
      </w:r>
      <w:r>
        <w:rPr>
          <w:rFonts w:ascii="宋体" w:hAnsi="宋体"/>
          <w:bCs/>
          <w:szCs w:val="21"/>
        </w:rPr>
        <w:t>投标</w:t>
      </w:r>
      <w:r>
        <w:rPr>
          <w:rFonts w:hint="eastAsia" w:ascii="宋体" w:hAnsi="宋体"/>
          <w:bCs/>
          <w:szCs w:val="21"/>
        </w:rPr>
        <w:t>文件</w:t>
      </w:r>
      <w:r>
        <w:rPr>
          <w:rFonts w:ascii="宋体" w:hAnsi="宋体"/>
          <w:bCs/>
          <w:szCs w:val="21"/>
        </w:rPr>
        <w:t>进行</w:t>
      </w:r>
      <w:r>
        <w:rPr>
          <w:rFonts w:hint="eastAsia" w:ascii="宋体" w:hAnsi="宋体"/>
          <w:bCs/>
          <w:szCs w:val="21"/>
        </w:rPr>
        <w:t>审</w:t>
      </w:r>
      <w:r>
        <w:rPr>
          <w:rFonts w:ascii="宋体" w:hAnsi="宋体"/>
          <w:bCs/>
          <w:szCs w:val="21"/>
        </w:rPr>
        <w:t>查。</w:t>
      </w:r>
    </w:p>
    <w:p w14:paraId="5CDA0245">
      <w:pPr>
        <w:spacing w:line="360" w:lineRule="exact"/>
        <w:ind w:firstLine="420" w:firstLineChars="200"/>
        <w:rPr>
          <w:rFonts w:ascii="宋体" w:hAnsi="宋体"/>
          <w:bCs/>
          <w:szCs w:val="21"/>
        </w:rPr>
      </w:pPr>
      <w:r>
        <w:rPr>
          <w:rFonts w:hint="eastAsia" w:ascii="宋体" w:hAnsi="宋体"/>
          <w:bCs/>
          <w:szCs w:val="21"/>
        </w:rPr>
        <w:t>（2）</w:t>
      </w:r>
      <w:r>
        <w:rPr>
          <w:rFonts w:ascii="宋体" w:hAnsi="宋体"/>
          <w:bCs/>
          <w:szCs w:val="21"/>
        </w:rPr>
        <w:t>符合性检查的对象是投标人提交的投标文件，评标委员会只就投标文件中所载明的情况进行</w:t>
      </w:r>
      <w:r>
        <w:rPr>
          <w:rFonts w:hint="eastAsia" w:ascii="宋体" w:hAnsi="宋体"/>
          <w:bCs/>
          <w:szCs w:val="21"/>
        </w:rPr>
        <w:t>审</w:t>
      </w:r>
      <w:r>
        <w:rPr>
          <w:rFonts w:ascii="宋体" w:hAnsi="宋体"/>
          <w:bCs/>
          <w:szCs w:val="21"/>
        </w:rPr>
        <w:t>查。</w:t>
      </w:r>
    </w:p>
    <w:p w14:paraId="26154F48">
      <w:pPr>
        <w:spacing w:line="360" w:lineRule="exact"/>
        <w:ind w:firstLine="420" w:firstLineChars="200"/>
        <w:rPr>
          <w:rFonts w:ascii="Calibri" w:hAnsi="Calibri"/>
          <w:szCs w:val="21"/>
        </w:rPr>
      </w:pPr>
      <w:r>
        <w:rPr>
          <w:rFonts w:hint="eastAsia" w:ascii="宋体" w:hAnsi="宋体"/>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14:paraId="49E076FF">
      <w:pPr>
        <w:spacing w:line="360" w:lineRule="exact"/>
        <w:ind w:firstLine="422" w:firstLineChars="200"/>
        <w:rPr>
          <w:rFonts w:ascii="宋体" w:hAnsi="宋体"/>
          <w:b/>
          <w:szCs w:val="21"/>
        </w:rPr>
      </w:pPr>
      <w:r>
        <w:rPr>
          <w:rFonts w:hint="eastAsia" w:ascii="宋体" w:hAnsi="宋体"/>
          <w:b/>
          <w:szCs w:val="21"/>
        </w:rPr>
        <w:t>2、</w:t>
      </w:r>
      <w:r>
        <w:rPr>
          <w:rFonts w:ascii="宋体" w:hAnsi="宋体"/>
          <w:b/>
          <w:szCs w:val="21"/>
        </w:rPr>
        <w:t>商务</w:t>
      </w:r>
      <w:r>
        <w:rPr>
          <w:rFonts w:hint="eastAsia" w:ascii="宋体" w:hAnsi="宋体"/>
          <w:b/>
          <w:szCs w:val="21"/>
        </w:rPr>
        <w:t>、</w:t>
      </w:r>
      <w:r>
        <w:rPr>
          <w:rFonts w:ascii="宋体" w:hAnsi="宋体"/>
          <w:b/>
          <w:szCs w:val="21"/>
        </w:rPr>
        <w:t>技术及价格评议</w:t>
      </w:r>
    </w:p>
    <w:p w14:paraId="617115D5">
      <w:pPr>
        <w:spacing w:line="360" w:lineRule="exact"/>
        <w:ind w:firstLine="420" w:firstLineChars="200"/>
        <w:rPr>
          <w:rFonts w:ascii="宋体" w:hAnsi="宋体"/>
          <w:szCs w:val="21"/>
        </w:rPr>
      </w:pPr>
      <w:r>
        <w:rPr>
          <w:rFonts w:hint="eastAsia" w:ascii="宋体" w:hAnsi="宋体"/>
          <w:szCs w:val="21"/>
        </w:rPr>
        <w:t>（1）</w:t>
      </w:r>
      <w:r>
        <w:rPr>
          <w:rFonts w:ascii="宋体" w:hAnsi="宋体"/>
          <w:szCs w:val="21"/>
        </w:rPr>
        <w:t>评标委员会根据《</w:t>
      </w:r>
      <w:r>
        <w:rPr>
          <w:rFonts w:hint="eastAsia" w:ascii="宋体" w:hAnsi="宋体"/>
          <w:szCs w:val="21"/>
        </w:rPr>
        <w:t>评分表</w:t>
      </w:r>
      <w:r>
        <w:rPr>
          <w:rFonts w:ascii="宋体" w:hAnsi="宋体"/>
          <w:szCs w:val="21"/>
        </w:rPr>
        <w:t>》的内容和标准，对通过</w:t>
      </w:r>
      <w:r>
        <w:rPr>
          <w:rFonts w:hint="eastAsia" w:ascii="宋体" w:hAnsi="宋体"/>
          <w:bCs/>
          <w:szCs w:val="21"/>
        </w:rPr>
        <w:t>资格性和</w:t>
      </w:r>
      <w:r>
        <w:rPr>
          <w:rFonts w:ascii="宋体" w:hAnsi="宋体"/>
          <w:bCs/>
          <w:szCs w:val="21"/>
        </w:rPr>
        <w:t>符合性</w:t>
      </w:r>
      <w:r>
        <w:rPr>
          <w:rFonts w:ascii="宋体" w:hAnsi="宋体"/>
          <w:szCs w:val="21"/>
        </w:rPr>
        <w:t>检查的投标进行商务</w:t>
      </w:r>
      <w:r>
        <w:rPr>
          <w:rFonts w:hint="eastAsia" w:ascii="宋体" w:hAnsi="宋体"/>
          <w:szCs w:val="21"/>
        </w:rPr>
        <w:t>、</w:t>
      </w:r>
      <w:r>
        <w:rPr>
          <w:rFonts w:ascii="宋体" w:hAnsi="宋体"/>
          <w:szCs w:val="21"/>
        </w:rPr>
        <w:t>技术</w:t>
      </w:r>
      <w:r>
        <w:rPr>
          <w:rFonts w:hint="eastAsia" w:ascii="宋体" w:hAnsi="宋体"/>
          <w:szCs w:val="21"/>
        </w:rPr>
        <w:t>及价格</w:t>
      </w:r>
      <w:r>
        <w:rPr>
          <w:rFonts w:ascii="宋体" w:hAnsi="宋体"/>
          <w:szCs w:val="21"/>
        </w:rPr>
        <w:t>评议。</w:t>
      </w:r>
    </w:p>
    <w:p w14:paraId="1AD56C59">
      <w:pPr>
        <w:spacing w:line="360" w:lineRule="exact"/>
        <w:ind w:firstLine="420" w:firstLineChars="200"/>
        <w:rPr>
          <w:rFonts w:ascii="Calibri" w:hAnsi="Calibri"/>
          <w:szCs w:val="21"/>
        </w:rPr>
      </w:pPr>
      <w:r>
        <w:rPr>
          <w:rFonts w:hint="eastAsia" w:ascii="宋体" w:hAnsi="宋体"/>
          <w:szCs w:val="21"/>
        </w:rPr>
        <w:t>（2）</w:t>
      </w:r>
      <w:r>
        <w:rPr>
          <w:rFonts w:ascii="宋体" w:hAnsi="宋体"/>
          <w:szCs w:val="21"/>
        </w:rPr>
        <w:t>评</w:t>
      </w:r>
      <w:r>
        <w:rPr>
          <w:rFonts w:ascii="Calibri" w:hAnsi="宋体"/>
          <w:szCs w:val="21"/>
        </w:rPr>
        <w:t>标委员会将对照招标文件中的商务、技术需求条款和投标文件中的商务、技术条款响应进行评议。评标委员会成员将按照《</w:t>
      </w:r>
      <w:r>
        <w:rPr>
          <w:rFonts w:hint="eastAsia" w:ascii="Calibri" w:hAnsi="宋体"/>
          <w:szCs w:val="21"/>
        </w:rPr>
        <w:t>评分表</w:t>
      </w:r>
      <w:r>
        <w:rPr>
          <w:rFonts w:ascii="Calibri" w:hAnsi="宋体"/>
          <w:szCs w:val="21"/>
        </w:rPr>
        <w:t>》确定的</w:t>
      </w:r>
      <w:r>
        <w:rPr>
          <w:rFonts w:hint="eastAsia" w:ascii="Calibri" w:hAnsi="宋体"/>
          <w:szCs w:val="21"/>
        </w:rPr>
        <w:t>分值</w:t>
      </w:r>
      <w:r>
        <w:rPr>
          <w:rFonts w:ascii="Calibri" w:hAnsi="宋体"/>
          <w:szCs w:val="21"/>
        </w:rPr>
        <w:t>独立对每个投标的商务</w:t>
      </w:r>
      <w:r>
        <w:rPr>
          <w:rFonts w:hint="eastAsia" w:ascii="Calibri" w:hAnsi="宋体"/>
          <w:szCs w:val="21"/>
        </w:rPr>
        <w:t>、</w:t>
      </w:r>
      <w:r>
        <w:rPr>
          <w:rFonts w:ascii="Calibri" w:hAnsi="宋体"/>
          <w:szCs w:val="21"/>
        </w:rPr>
        <w:t>技术</w:t>
      </w:r>
      <w:r>
        <w:rPr>
          <w:rFonts w:hint="eastAsia" w:ascii="Calibri" w:hAnsi="宋体"/>
          <w:szCs w:val="21"/>
        </w:rPr>
        <w:t>及价格</w:t>
      </w:r>
      <w:r>
        <w:rPr>
          <w:rFonts w:ascii="Calibri" w:hAnsi="宋体"/>
          <w:szCs w:val="21"/>
        </w:rPr>
        <w:t>部分以打分的方式进行评议。</w:t>
      </w:r>
    </w:p>
    <w:p w14:paraId="17BB6C44">
      <w:pPr>
        <w:spacing w:line="360" w:lineRule="exact"/>
        <w:ind w:firstLine="422" w:firstLineChars="200"/>
        <w:rPr>
          <w:rFonts w:ascii="Calibri" w:hAnsi="Calibri"/>
          <w:b/>
          <w:szCs w:val="21"/>
        </w:rPr>
      </w:pPr>
      <w:r>
        <w:rPr>
          <w:rFonts w:hint="eastAsia" w:ascii="宋体" w:hAnsi="宋体"/>
          <w:b/>
          <w:szCs w:val="21"/>
        </w:rPr>
        <w:t>3、</w:t>
      </w:r>
      <w:r>
        <w:rPr>
          <w:rFonts w:ascii="Calibri" w:hAnsi="宋体"/>
          <w:b/>
          <w:szCs w:val="21"/>
        </w:rPr>
        <w:t>中标人的确定</w:t>
      </w:r>
    </w:p>
    <w:p w14:paraId="27361B69">
      <w:pPr>
        <w:spacing w:line="360" w:lineRule="exact"/>
        <w:ind w:firstLine="420" w:firstLineChars="200"/>
        <w:rPr>
          <w:rFonts w:ascii="Calibri" w:hAnsi="Calibri"/>
          <w:szCs w:val="21"/>
        </w:rPr>
      </w:pPr>
      <w:r>
        <w:rPr>
          <w:rFonts w:hint="eastAsia" w:ascii="宋体" w:hAnsi="宋体"/>
          <w:bCs/>
          <w:szCs w:val="21"/>
        </w:rPr>
        <w:t>（1）采购方授权评标委员会确定中标单位，每个投标单位的评标总得分以</w:t>
      </w:r>
      <w:r>
        <w:rPr>
          <w:rFonts w:hint="eastAsia" w:ascii="宋体" w:hAnsi="宋体"/>
          <w:szCs w:val="21"/>
        </w:rPr>
        <w:t>所有评标委员会成员的独立评分汇总</w:t>
      </w:r>
      <w:r>
        <w:rPr>
          <w:rFonts w:hint="eastAsia" w:ascii="宋体" w:hAnsi="宋体"/>
          <w:bCs/>
          <w:szCs w:val="21"/>
        </w:rPr>
        <w:t>后确定，以评标总得分最高的投标人为中标人。</w:t>
      </w:r>
    </w:p>
    <w:p w14:paraId="0804475D">
      <w:pPr>
        <w:spacing w:line="360" w:lineRule="exact"/>
        <w:ind w:firstLine="420"/>
        <w:rPr>
          <w:rFonts w:ascii="宋体" w:hAnsi="宋体"/>
          <w:b/>
          <w:bCs/>
          <w:szCs w:val="21"/>
        </w:rPr>
      </w:pPr>
      <w:r>
        <w:rPr>
          <w:rFonts w:hint="eastAsia" w:ascii="宋体" w:hAnsi="宋体"/>
          <w:szCs w:val="21"/>
        </w:rPr>
        <w:t>（2）</w:t>
      </w:r>
      <w:r>
        <w:rPr>
          <w:rFonts w:ascii="Calibri" w:hAnsi="宋体"/>
          <w:szCs w:val="21"/>
        </w:rPr>
        <w:t>评标总得分相同的，按投标报价由低到高顺序排列；评标总得分且投标报价相同的，按技术指标</w:t>
      </w:r>
      <w:r>
        <w:rPr>
          <w:rFonts w:hint="eastAsia" w:ascii="Calibri" w:hAnsi="宋体"/>
          <w:szCs w:val="21"/>
        </w:rPr>
        <w:t>（技术部分）</w:t>
      </w:r>
      <w:r>
        <w:rPr>
          <w:rFonts w:ascii="Calibri" w:hAnsi="宋体"/>
          <w:szCs w:val="21"/>
        </w:rPr>
        <w:t>得分优劣顺序排列</w:t>
      </w:r>
      <w:r>
        <w:rPr>
          <w:rFonts w:hint="eastAsia" w:ascii="Calibri" w:hAnsi="宋体"/>
          <w:szCs w:val="21"/>
        </w:rPr>
        <w:t>；如</w:t>
      </w:r>
      <w:r>
        <w:rPr>
          <w:rFonts w:ascii="Calibri" w:hAnsi="宋体"/>
          <w:szCs w:val="21"/>
        </w:rPr>
        <w:t>技术指标</w:t>
      </w:r>
      <w:r>
        <w:rPr>
          <w:rFonts w:hint="eastAsia" w:ascii="Calibri" w:hAnsi="宋体"/>
          <w:szCs w:val="21"/>
        </w:rPr>
        <w:t>（技术部分）</w:t>
      </w:r>
      <w:r>
        <w:rPr>
          <w:rFonts w:ascii="Calibri" w:hAnsi="宋体"/>
          <w:szCs w:val="21"/>
        </w:rPr>
        <w:t>得分</w:t>
      </w:r>
      <w:r>
        <w:rPr>
          <w:rFonts w:hint="eastAsia" w:ascii="Calibri" w:hAnsi="宋体"/>
          <w:szCs w:val="21"/>
        </w:rPr>
        <w:t>仍然相同的，则采用抽签方式确定排序</w:t>
      </w:r>
      <w:r>
        <w:rPr>
          <w:rFonts w:ascii="Calibri" w:hAnsi="宋体"/>
          <w:szCs w:val="21"/>
        </w:rPr>
        <w:t>。</w:t>
      </w:r>
    </w:p>
    <w:p w14:paraId="7E1CCA60">
      <w:pPr>
        <w:numPr>
          <w:ilvl w:val="0"/>
          <w:numId w:val="3"/>
        </w:numPr>
        <w:spacing w:line="360" w:lineRule="exact"/>
        <w:rPr>
          <w:rFonts w:ascii="宋体" w:hAnsi="宋体"/>
          <w:b/>
          <w:szCs w:val="21"/>
        </w:rPr>
      </w:pPr>
      <w:r>
        <w:rPr>
          <w:rFonts w:ascii="Calibri" w:hAnsi="Calibri"/>
          <w:b/>
          <w:szCs w:val="21"/>
        </w:rPr>
        <w:t>最低价法</w:t>
      </w:r>
    </w:p>
    <w:p w14:paraId="69372AAD">
      <w:pPr>
        <w:spacing w:line="360" w:lineRule="exact"/>
        <w:ind w:firstLine="422" w:firstLineChars="200"/>
        <w:rPr>
          <w:rFonts w:ascii="宋体" w:hAnsi="宋体"/>
          <w:b/>
          <w:szCs w:val="21"/>
        </w:rPr>
      </w:pPr>
      <w:r>
        <w:rPr>
          <w:rFonts w:hint="eastAsia" w:ascii="宋体" w:hAnsi="宋体"/>
          <w:b/>
          <w:szCs w:val="21"/>
        </w:rPr>
        <w:t>1、</w:t>
      </w:r>
      <w:r>
        <w:rPr>
          <w:rFonts w:ascii="宋体" w:hAnsi="宋体"/>
          <w:b/>
          <w:szCs w:val="21"/>
        </w:rPr>
        <w:t>符合性检查</w:t>
      </w:r>
    </w:p>
    <w:p w14:paraId="31ECD4BB">
      <w:pPr>
        <w:spacing w:line="360" w:lineRule="exact"/>
        <w:ind w:firstLine="420" w:firstLineChars="200"/>
        <w:rPr>
          <w:rFonts w:ascii="宋体" w:hAnsi="宋体"/>
          <w:bCs/>
          <w:szCs w:val="21"/>
        </w:rPr>
      </w:pPr>
      <w:r>
        <w:rPr>
          <w:rFonts w:hint="eastAsia" w:ascii="宋体" w:hAnsi="宋体"/>
          <w:bCs/>
          <w:szCs w:val="21"/>
        </w:rPr>
        <w:t>（1）</w:t>
      </w:r>
      <w:r>
        <w:rPr>
          <w:rFonts w:ascii="宋体" w:hAnsi="宋体"/>
          <w:bCs/>
          <w:szCs w:val="21"/>
        </w:rPr>
        <w:t>评标委员会根据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通过资格性核查的</w:t>
      </w:r>
      <w:r>
        <w:rPr>
          <w:rFonts w:ascii="宋体" w:hAnsi="宋体"/>
          <w:bCs/>
          <w:szCs w:val="21"/>
        </w:rPr>
        <w:t>投标</w:t>
      </w:r>
      <w:r>
        <w:rPr>
          <w:rFonts w:hint="eastAsia" w:ascii="宋体" w:hAnsi="宋体"/>
          <w:bCs/>
          <w:szCs w:val="21"/>
        </w:rPr>
        <w:t>文件</w:t>
      </w:r>
      <w:r>
        <w:rPr>
          <w:rFonts w:ascii="宋体" w:hAnsi="宋体"/>
          <w:bCs/>
          <w:szCs w:val="21"/>
        </w:rPr>
        <w:t>进行</w:t>
      </w:r>
      <w:r>
        <w:rPr>
          <w:rFonts w:hint="eastAsia" w:ascii="宋体" w:hAnsi="宋体"/>
          <w:bCs/>
          <w:szCs w:val="21"/>
        </w:rPr>
        <w:t>审</w:t>
      </w:r>
      <w:r>
        <w:rPr>
          <w:rFonts w:ascii="宋体" w:hAnsi="宋体"/>
          <w:bCs/>
          <w:szCs w:val="21"/>
        </w:rPr>
        <w:t>查。</w:t>
      </w:r>
    </w:p>
    <w:p w14:paraId="0DBD356A">
      <w:pPr>
        <w:spacing w:line="360" w:lineRule="exact"/>
        <w:ind w:firstLine="420" w:firstLineChars="200"/>
        <w:rPr>
          <w:rFonts w:ascii="宋体" w:hAnsi="宋体"/>
          <w:bCs/>
          <w:szCs w:val="21"/>
        </w:rPr>
      </w:pPr>
      <w:r>
        <w:rPr>
          <w:rFonts w:hint="eastAsia" w:ascii="宋体" w:hAnsi="宋体"/>
          <w:bCs/>
          <w:szCs w:val="21"/>
        </w:rPr>
        <w:t>（2）</w:t>
      </w:r>
      <w:r>
        <w:rPr>
          <w:rFonts w:ascii="宋体" w:hAnsi="宋体"/>
          <w:bCs/>
          <w:szCs w:val="21"/>
        </w:rPr>
        <w:t>符合性检查的对象是投标人提交的投标文件，评标委员会只就投标文件中所载明的情况进行</w:t>
      </w:r>
      <w:r>
        <w:rPr>
          <w:rFonts w:hint="eastAsia" w:ascii="宋体" w:hAnsi="宋体"/>
          <w:bCs/>
          <w:szCs w:val="21"/>
        </w:rPr>
        <w:t>审</w:t>
      </w:r>
      <w:r>
        <w:rPr>
          <w:rFonts w:ascii="宋体" w:hAnsi="宋体"/>
          <w:bCs/>
          <w:szCs w:val="21"/>
        </w:rPr>
        <w:t>查。</w:t>
      </w:r>
    </w:p>
    <w:p w14:paraId="40C99A62">
      <w:pPr>
        <w:spacing w:line="360" w:lineRule="exact"/>
        <w:ind w:firstLine="420" w:firstLineChars="200"/>
        <w:rPr>
          <w:rFonts w:ascii="Calibri" w:hAnsi="Calibri"/>
          <w:szCs w:val="21"/>
        </w:rPr>
      </w:pPr>
      <w:r>
        <w:rPr>
          <w:rFonts w:hint="eastAsia" w:ascii="宋体" w:hAnsi="宋体"/>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14:paraId="42007A3A">
      <w:pPr>
        <w:spacing w:line="360" w:lineRule="exact"/>
        <w:ind w:firstLine="422" w:firstLineChars="200"/>
        <w:rPr>
          <w:rFonts w:ascii="Calibri" w:hAnsi="Calibri"/>
          <w:b/>
          <w:szCs w:val="21"/>
        </w:rPr>
      </w:pPr>
      <w:r>
        <w:rPr>
          <w:rFonts w:hint="eastAsia" w:ascii="宋体" w:hAnsi="宋体"/>
          <w:b/>
          <w:szCs w:val="21"/>
        </w:rPr>
        <w:t>2、</w:t>
      </w:r>
      <w:r>
        <w:rPr>
          <w:rFonts w:ascii="Calibri" w:hAnsi="宋体"/>
          <w:b/>
          <w:szCs w:val="21"/>
        </w:rPr>
        <w:t>中标人的确定</w:t>
      </w:r>
    </w:p>
    <w:p w14:paraId="0F9D7D31">
      <w:pPr>
        <w:spacing w:line="360" w:lineRule="exact"/>
        <w:ind w:firstLine="435"/>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采购方授权评标委员会确定中标单位，评标委员会对通过上述检查且最终报价不超过预算控制金额</w:t>
      </w:r>
      <w:r>
        <w:rPr>
          <w:rFonts w:hint="eastAsia" w:ascii="宋体" w:hAnsi="宋体"/>
          <w:szCs w:val="21"/>
        </w:rPr>
        <w:t>的投标单位进行审查，确定</w:t>
      </w:r>
      <w:r>
        <w:rPr>
          <w:rFonts w:ascii="宋体" w:hAnsi="宋体"/>
          <w:szCs w:val="21"/>
        </w:rPr>
        <w:t>满足招标文件实质性要求</w:t>
      </w:r>
      <w:r>
        <w:rPr>
          <w:rFonts w:hint="eastAsia" w:ascii="宋体" w:hAnsi="宋体"/>
          <w:szCs w:val="21"/>
        </w:rPr>
        <w:t>、且</w:t>
      </w:r>
      <w:r>
        <w:rPr>
          <w:rFonts w:ascii="宋体" w:hAnsi="宋体"/>
          <w:szCs w:val="21"/>
        </w:rPr>
        <w:t>投标的价格最低的投标供应商为中标人</w:t>
      </w:r>
      <w:r>
        <w:rPr>
          <w:rFonts w:hint="eastAsia" w:ascii="宋体" w:hAnsi="宋体"/>
          <w:szCs w:val="21"/>
        </w:rPr>
        <w:t>。</w:t>
      </w:r>
    </w:p>
    <w:p w14:paraId="43B41867">
      <w:pPr>
        <w:spacing w:line="360" w:lineRule="exact"/>
        <w:ind w:firstLine="435"/>
        <w:rPr>
          <w:rFonts w:ascii="宋体" w:hAnsi="宋体"/>
          <w:b/>
          <w:bCs/>
          <w:szCs w:val="21"/>
        </w:rPr>
      </w:pPr>
      <w:r>
        <w:rPr>
          <w:rFonts w:hint="eastAsia" w:ascii="宋体" w:hAnsi="宋体"/>
          <w:szCs w:val="21"/>
        </w:rPr>
        <w:t>（2）</w:t>
      </w:r>
      <w:r>
        <w:rPr>
          <w:rFonts w:ascii="宋体" w:hAnsi="宋体"/>
          <w:szCs w:val="21"/>
        </w:rPr>
        <w:t>确</w:t>
      </w:r>
      <w:r>
        <w:rPr>
          <w:rFonts w:ascii="Calibri" w:hAnsi="宋体"/>
          <w:szCs w:val="21"/>
        </w:rPr>
        <w:t>定中标人按投标报价由低到高顺序排列</w:t>
      </w:r>
      <w:r>
        <w:rPr>
          <w:rFonts w:hint="eastAsia" w:ascii="Calibri" w:hAnsi="宋体"/>
          <w:szCs w:val="21"/>
        </w:rPr>
        <w:t>。</w:t>
      </w:r>
      <w:r>
        <w:rPr>
          <w:rFonts w:ascii="Calibri" w:hAnsi="宋体"/>
          <w:szCs w:val="21"/>
        </w:rPr>
        <w:t>投标报价相同的，按技术指标优劣顺序排列</w:t>
      </w:r>
      <w:r>
        <w:rPr>
          <w:rFonts w:hint="eastAsia" w:ascii="Calibri" w:hAnsi="宋体"/>
          <w:szCs w:val="21"/>
        </w:rPr>
        <w:t>；技术指标仍然相同的，则采用抽签方式确定排序</w:t>
      </w:r>
      <w:r>
        <w:rPr>
          <w:rFonts w:ascii="Calibri" w:hAnsi="宋体"/>
          <w:szCs w:val="21"/>
        </w:rPr>
        <w:t>。</w:t>
      </w:r>
      <w:r>
        <w:rPr>
          <w:rFonts w:hint="eastAsia" w:ascii="宋体" w:hAnsi="宋体"/>
          <w:b/>
          <w:bCs/>
          <w:szCs w:val="21"/>
        </w:rPr>
        <w:t>根据《深圳市财政委员会关于加强招投标评审环节诚信管理的通知》(深财购[2013]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14:paraId="41684849">
      <w:pPr>
        <w:spacing w:line="360" w:lineRule="exact"/>
        <w:rPr>
          <w:b/>
        </w:rPr>
      </w:pPr>
      <w:r>
        <w:rPr>
          <w:rFonts w:hint="eastAsia"/>
          <w:b/>
        </w:rPr>
        <w:t xml:space="preserve">    （二）评标和定标分离的方式</w:t>
      </w:r>
    </w:p>
    <w:p w14:paraId="110CB82D">
      <w:pPr>
        <w:spacing w:line="360" w:lineRule="exact"/>
        <w:ind w:firstLine="422" w:firstLineChars="200"/>
        <w:rPr>
          <w:rFonts w:ascii="宋体" w:hAnsi="宋体"/>
          <w:b/>
          <w:szCs w:val="21"/>
        </w:rPr>
      </w:pPr>
      <w:r>
        <w:rPr>
          <w:rFonts w:hint="eastAsia" w:ascii="宋体" w:hAnsi="宋体"/>
          <w:b/>
          <w:szCs w:val="21"/>
        </w:rPr>
        <w:t>1、</w:t>
      </w:r>
      <w:r>
        <w:rPr>
          <w:rFonts w:ascii="宋体" w:hAnsi="宋体"/>
          <w:b/>
          <w:szCs w:val="21"/>
        </w:rPr>
        <w:t>符合性检查</w:t>
      </w:r>
    </w:p>
    <w:p w14:paraId="0D3C698E">
      <w:pPr>
        <w:spacing w:line="360" w:lineRule="exact"/>
        <w:ind w:firstLine="420" w:firstLineChars="200"/>
        <w:rPr>
          <w:rFonts w:ascii="宋体" w:hAnsi="宋体"/>
          <w:bCs/>
          <w:szCs w:val="21"/>
        </w:rPr>
      </w:pPr>
      <w:r>
        <w:rPr>
          <w:rFonts w:hint="eastAsia" w:ascii="宋体" w:hAnsi="宋体"/>
          <w:bCs/>
          <w:szCs w:val="21"/>
        </w:rPr>
        <w:t>（1）</w:t>
      </w:r>
      <w:r>
        <w:rPr>
          <w:rFonts w:ascii="宋体" w:hAnsi="宋体"/>
          <w:bCs/>
          <w:szCs w:val="21"/>
        </w:rPr>
        <w:t>评标委员会根据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通过资格性核查的</w:t>
      </w:r>
      <w:r>
        <w:rPr>
          <w:rFonts w:ascii="宋体" w:hAnsi="宋体"/>
          <w:bCs/>
          <w:szCs w:val="21"/>
        </w:rPr>
        <w:t>投标</w:t>
      </w:r>
      <w:r>
        <w:rPr>
          <w:rFonts w:hint="eastAsia" w:ascii="宋体" w:hAnsi="宋体"/>
          <w:bCs/>
          <w:szCs w:val="21"/>
        </w:rPr>
        <w:t>文件</w:t>
      </w:r>
      <w:r>
        <w:rPr>
          <w:rFonts w:ascii="宋体" w:hAnsi="宋体"/>
          <w:bCs/>
          <w:szCs w:val="21"/>
        </w:rPr>
        <w:t>进行</w:t>
      </w:r>
      <w:r>
        <w:rPr>
          <w:rFonts w:hint="eastAsia" w:ascii="宋体" w:hAnsi="宋体"/>
          <w:bCs/>
          <w:szCs w:val="21"/>
        </w:rPr>
        <w:t>审</w:t>
      </w:r>
      <w:r>
        <w:rPr>
          <w:rFonts w:ascii="宋体" w:hAnsi="宋体"/>
          <w:bCs/>
          <w:szCs w:val="21"/>
        </w:rPr>
        <w:t>查。</w:t>
      </w:r>
    </w:p>
    <w:p w14:paraId="2C331298">
      <w:pPr>
        <w:spacing w:line="360" w:lineRule="exact"/>
        <w:ind w:firstLine="420" w:firstLineChars="200"/>
        <w:rPr>
          <w:rFonts w:ascii="宋体" w:hAnsi="宋体"/>
          <w:bCs/>
          <w:szCs w:val="21"/>
        </w:rPr>
      </w:pPr>
      <w:r>
        <w:rPr>
          <w:rFonts w:hint="eastAsia" w:ascii="宋体" w:hAnsi="宋体"/>
          <w:bCs/>
          <w:szCs w:val="21"/>
        </w:rPr>
        <w:t>（2）</w:t>
      </w:r>
      <w:r>
        <w:rPr>
          <w:rFonts w:ascii="宋体" w:hAnsi="宋体"/>
          <w:bCs/>
          <w:szCs w:val="21"/>
        </w:rPr>
        <w:t>符合性检查的对象是投标人提交的投标文件，评标委员会只就投标文件中所载明的情况进行</w:t>
      </w:r>
      <w:r>
        <w:rPr>
          <w:rFonts w:hint="eastAsia" w:ascii="宋体" w:hAnsi="宋体"/>
          <w:bCs/>
          <w:szCs w:val="21"/>
        </w:rPr>
        <w:t>审</w:t>
      </w:r>
      <w:r>
        <w:rPr>
          <w:rFonts w:ascii="宋体" w:hAnsi="宋体"/>
          <w:bCs/>
          <w:szCs w:val="21"/>
        </w:rPr>
        <w:t>查。</w:t>
      </w:r>
    </w:p>
    <w:p w14:paraId="01DF7543">
      <w:pPr>
        <w:spacing w:line="360" w:lineRule="exact"/>
        <w:ind w:firstLine="420" w:firstLineChars="200"/>
        <w:rPr>
          <w:rFonts w:ascii="Calibri" w:hAnsi="Calibri"/>
          <w:szCs w:val="21"/>
        </w:rPr>
      </w:pPr>
      <w:r>
        <w:rPr>
          <w:rFonts w:hint="eastAsia" w:ascii="宋体" w:hAnsi="宋体"/>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14:paraId="1E41F235">
      <w:pPr>
        <w:spacing w:line="360" w:lineRule="exact"/>
        <w:ind w:firstLine="422" w:firstLineChars="200"/>
        <w:rPr>
          <w:rFonts w:ascii="宋体" w:hAnsi="宋体"/>
          <w:b/>
          <w:szCs w:val="21"/>
        </w:rPr>
      </w:pPr>
      <w:r>
        <w:rPr>
          <w:rFonts w:hint="eastAsia" w:ascii="宋体" w:hAnsi="宋体"/>
          <w:b/>
          <w:szCs w:val="21"/>
        </w:rPr>
        <w:t>2、</w:t>
      </w:r>
      <w:r>
        <w:rPr>
          <w:rFonts w:ascii="宋体" w:hAnsi="宋体"/>
          <w:b/>
          <w:szCs w:val="21"/>
        </w:rPr>
        <w:t>商务</w:t>
      </w:r>
      <w:r>
        <w:rPr>
          <w:rFonts w:hint="eastAsia" w:ascii="宋体" w:hAnsi="宋体"/>
          <w:b/>
          <w:szCs w:val="21"/>
        </w:rPr>
        <w:t>、</w:t>
      </w:r>
      <w:r>
        <w:rPr>
          <w:rFonts w:ascii="宋体" w:hAnsi="宋体"/>
          <w:b/>
          <w:szCs w:val="21"/>
        </w:rPr>
        <w:t>技术及价格评议</w:t>
      </w:r>
    </w:p>
    <w:p w14:paraId="5C6B1779">
      <w:pPr>
        <w:numPr>
          <w:ilvl w:val="0"/>
          <w:numId w:val="3"/>
        </w:numPr>
        <w:spacing w:line="360" w:lineRule="exact"/>
        <w:ind w:left="0" w:firstLine="422"/>
        <w:rPr>
          <w:rFonts w:ascii="宋体" w:hAnsi="宋体"/>
          <w:bCs/>
          <w:szCs w:val="21"/>
        </w:rPr>
      </w:pPr>
      <w:r>
        <w:rPr>
          <w:rFonts w:hint="eastAsia" w:ascii="宋体" w:hAnsi="宋体"/>
          <w:b/>
          <w:szCs w:val="21"/>
        </w:rPr>
        <w:t>综合评分法：</w:t>
      </w:r>
      <w:r>
        <w:rPr>
          <w:rFonts w:ascii="宋体" w:hAnsi="宋体"/>
          <w:bCs/>
          <w:szCs w:val="21"/>
        </w:rPr>
        <w:t>评标委员会根据《</w:t>
      </w:r>
      <w:r>
        <w:rPr>
          <w:rFonts w:hint="eastAsia" w:ascii="宋体" w:hAnsi="宋体"/>
          <w:bCs/>
          <w:szCs w:val="21"/>
        </w:rPr>
        <w:t>评分表</w:t>
      </w:r>
      <w:r>
        <w:rPr>
          <w:rFonts w:ascii="宋体" w:hAnsi="宋体"/>
          <w:bCs/>
          <w:szCs w:val="21"/>
        </w:rPr>
        <w:t>》的内容和标准，对通过</w:t>
      </w:r>
      <w:r>
        <w:rPr>
          <w:rFonts w:hint="eastAsia" w:ascii="宋体" w:hAnsi="宋体"/>
          <w:bCs/>
          <w:szCs w:val="21"/>
        </w:rPr>
        <w:t>资格性和</w:t>
      </w:r>
      <w:r>
        <w:rPr>
          <w:rFonts w:ascii="宋体" w:hAnsi="宋体"/>
          <w:bCs/>
          <w:szCs w:val="21"/>
        </w:rPr>
        <w:t>符合性检查的投标进行商务</w:t>
      </w:r>
      <w:r>
        <w:rPr>
          <w:rFonts w:hint="eastAsia" w:ascii="宋体" w:hAnsi="宋体"/>
          <w:bCs/>
          <w:szCs w:val="21"/>
        </w:rPr>
        <w:t>、</w:t>
      </w:r>
      <w:r>
        <w:rPr>
          <w:rFonts w:ascii="宋体" w:hAnsi="宋体"/>
          <w:bCs/>
          <w:szCs w:val="21"/>
        </w:rPr>
        <w:t>技术</w:t>
      </w:r>
      <w:r>
        <w:rPr>
          <w:rFonts w:hint="eastAsia" w:ascii="宋体" w:hAnsi="宋体"/>
          <w:bCs/>
          <w:szCs w:val="21"/>
        </w:rPr>
        <w:t>及价格</w:t>
      </w:r>
      <w:r>
        <w:rPr>
          <w:rFonts w:ascii="宋体" w:hAnsi="宋体"/>
          <w:bCs/>
          <w:szCs w:val="21"/>
        </w:rPr>
        <w:t>评议</w:t>
      </w:r>
      <w:r>
        <w:rPr>
          <w:rFonts w:hint="eastAsia" w:ascii="宋体" w:hAnsi="宋体"/>
          <w:bCs/>
          <w:szCs w:val="21"/>
        </w:rPr>
        <w:t>，</w:t>
      </w:r>
      <w:r>
        <w:rPr>
          <w:rFonts w:ascii="宋体" w:hAnsi="宋体"/>
          <w:bCs/>
          <w:szCs w:val="21"/>
        </w:rPr>
        <w:t>对照招标文件中的商务、技术需求条款和投标文件中的商务、技术条款响应进行评议。评标委员会成员将按照《</w:t>
      </w:r>
      <w:r>
        <w:rPr>
          <w:rFonts w:hint="eastAsia" w:ascii="宋体" w:hAnsi="宋体"/>
          <w:bCs/>
          <w:szCs w:val="21"/>
        </w:rPr>
        <w:t>评分表</w:t>
      </w:r>
      <w:r>
        <w:rPr>
          <w:rFonts w:ascii="宋体" w:hAnsi="宋体"/>
          <w:bCs/>
          <w:szCs w:val="21"/>
        </w:rPr>
        <w:t>》确定的</w:t>
      </w:r>
      <w:r>
        <w:rPr>
          <w:rFonts w:hint="eastAsia" w:ascii="宋体" w:hAnsi="宋体"/>
          <w:bCs/>
          <w:szCs w:val="21"/>
        </w:rPr>
        <w:t>分值</w:t>
      </w:r>
      <w:r>
        <w:rPr>
          <w:rFonts w:ascii="宋体" w:hAnsi="宋体"/>
          <w:bCs/>
          <w:szCs w:val="21"/>
        </w:rPr>
        <w:t>独立对每个投标的商务</w:t>
      </w:r>
      <w:r>
        <w:rPr>
          <w:rFonts w:hint="eastAsia" w:ascii="宋体" w:hAnsi="宋体"/>
          <w:bCs/>
          <w:szCs w:val="21"/>
        </w:rPr>
        <w:t>、</w:t>
      </w:r>
      <w:r>
        <w:rPr>
          <w:rFonts w:ascii="宋体" w:hAnsi="宋体"/>
          <w:bCs/>
          <w:szCs w:val="21"/>
        </w:rPr>
        <w:t>技术</w:t>
      </w:r>
      <w:r>
        <w:rPr>
          <w:rFonts w:hint="eastAsia" w:ascii="宋体" w:hAnsi="宋体"/>
          <w:bCs/>
          <w:szCs w:val="21"/>
        </w:rPr>
        <w:t>及价格</w:t>
      </w:r>
      <w:r>
        <w:rPr>
          <w:rFonts w:ascii="宋体" w:hAnsi="宋体"/>
          <w:bCs/>
          <w:szCs w:val="21"/>
        </w:rPr>
        <w:t>部分以打分的方式进行评议。</w:t>
      </w:r>
      <w:r>
        <w:rPr>
          <w:rFonts w:hint="eastAsia" w:ascii="宋体" w:hAnsi="宋体"/>
          <w:b/>
          <w:bCs/>
          <w:szCs w:val="21"/>
        </w:rPr>
        <w:t>采用竞价法或抽签法定标时，如果通过资格性、符合性检查的有效投标人只有三家，可直接推荐并进入定标程序，不再对投标人进行商务、技术及价格评议</w:t>
      </w:r>
      <w:r>
        <w:rPr>
          <w:rFonts w:hint="eastAsia" w:ascii="宋体" w:hAnsi="宋体"/>
          <w:bCs/>
          <w:szCs w:val="21"/>
        </w:rPr>
        <w:t>。</w:t>
      </w:r>
    </w:p>
    <w:p w14:paraId="50A07367">
      <w:pPr>
        <w:numPr>
          <w:ilvl w:val="0"/>
          <w:numId w:val="3"/>
        </w:numPr>
        <w:spacing w:line="360" w:lineRule="exact"/>
        <w:ind w:left="0" w:firstLine="422"/>
        <w:rPr>
          <w:rFonts w:ascii="宋体" w:hAnsi="宋体"/>
          <w:b/>
          <w:szCs w:val="21"/>
        </w:rPr>
      </w:pPr>
      <w:r>
        <w:rPr>
          <w:rFonts w:hint="eastAsia" w:ascii="宋体" w:hAnsi="宋体"/>
          <w:b/>
          <w:szCs w:val="21"/>
        </w:rPr>
        <w:t>定性评审法：</w:t>
      </w:r>
      <w:r>
        <w:rPr>
          <w:rFonts w:ascii="宋体" w:hAnsi="宋体"/>
          <w:bCs/>
          <w:szCs w:val="21"/>
        </w:rPr>
        <w:t>评标委员会对通过</w:t>
      </w:r>
      <w:r>
        <w:rPr>
          <w:rFonts w:hint="eastAsia" w:ascii="宋体" w:hAnsi="宋体"/>
          <w:bCs/>
          <w:szCs w:val="21"/>
        </w:rPr>
        <w:t>资格性和</w:t>
      </w:r>
      <w:r>
        <w:rPr>
          <w:rFonts w:ascii="宋体" w:hAnsi="宋体"/>
          <w:bCs/>
          <w:szCs w:val="21"/>
        </w:rPr>
        <w:t>符合性检查的投标进行商务</w:t>
      </w:r>
      <w:r>
        <w:rPr>
          <w:rFonts w:hint="eastAsia" w:ascii="宋体" w:hAnsi="宋体"/>
          <w:bCs/>
          <w:szCs w:val="21"/>
        </w:rPr>
        <w:t>、</w:t>
      </w:r>
      <w:r>
        <w:rPr>
          <w:rFonts w:ascii="宋体" w:hAnsi="宋体"/>
          <w:bCs/>
          <w:szCs w:val="21"/>
        </w:rPr>
        <w:t>技术</w:t>
      </w:r>
      <w:r>
        <w:rPr>
          <w:rFonts w:hint="eastAsia" w:ascii="宋体" w:hAnsi="宋体"/>
          <w:bCs/>
          <w:szCs w:val="21"/>
        </w:rPr>
        <w:t>及价格</w:t>
      </w:r>
      <w:r>
        <w:rPr>
          <w:rFonts w:ascii="宋体" w:hAnsi="宋体"/>
          <w:bCs/>
          <w:szCs w:val="21"/>
        </w:rPr>
        <w:t>评议</w:t>
      </w:r>
      <w:r>
        <w:rPr>
          <w:rFonts w:hint="eastAsia" w:ascii="宋体" w:hAnsi="宋体"/>
          <w:bCs/>
          <w:szCs w:val="21"/>
        </w:rPr>
        <w:t>，</w:t>
      </w:r>
      <w:r>
        <w:rPr>
          <w:rFonts w:ascii="宋体" w:hAnsi="宋体"/>
          <w:bCs/>
          <w:szCs w:val="21"/>
        </w:rPr>
        <w:t>对照招标文件中的商务、技术需求条款和投标文件中的商务、技术条款响应进行评议</w:t>
      </w:r>
      <w:r>
        <w:rPr>
          <w:rFonts w:hint="eastAsia" w:ascii="宋体" w:hAnsi="宋体"/>
          <w:bCs/>
          <w:szCs w:val="21"/>
        </w:rPr>
        <w:t>，对各投标文件是否满足招标文件实质性要求提出评审意见</w:t>
      </w:r>
      <w:r>
        <w:rPr>
          <w:rFonts w:ascii="宋体" w:hAnsi="宋体"/>
          <w:bCs/>
          <w:szCs w:val="21"/>
        </w:rPr>
        <w:t>。</w:t>
      </w:r>
    </w:p>
    <w:p w14:paraId="025351B8">
      <w:pPr>
        <w:spacing w:line="360" w:lineRule="exact"/>
        <w:ind w:firstLine="422" w:firstLineChars="200"/>
        <w:rPr>
          <w:rFonts w:ascii="Calibri" w:hAnsi="Calibri"/>
          <w:b/>
          <w:szCs w:val="21"/>
        </w:rPr>
      </w:pPr>
      <w:r>
        <w:rPr>
          <w:rFonts w:hint="eastAsia" w:ascii="宋体" w:hAnsi="宋体"/>
          <w:b/>
          <w:szCs w:val="21"/>
        </w:rPr>
        <w:t>3、</w:t>
      </w:r>
      <w:r>
        <w:rPr>
          <w:rFonts w:ascii="Calibri" w:hAnsi="宋体"/>
          <w:b/>
          <w:szCs w:val="21"/>
        </w:rPr>
        <w:t>中标人的确定</w:t>
      </w:r>
    </w:p>
    <w:p w14:paraId="711F1E6C">
      <w:pPr>
        <w:spacing w:line="360" w:lineRule="exact"/>
        <w:ind w:firstLine="422" w:firstLineChars="200"/>
        <w:rPr>
          <w:rFonts w:ascii="宋体" w:hAnsi="宋体"/>
          <w:b/>
          <w:szCs w:val="21"/>
        </w:rPr>
      </w:pPr>
      <w:r>
        <w:rPr>
          <w:rFonts w:hint="eastAsia" w:ascii="宋体" w:hAnsi="宋体"/>
          <w:b/>
          <w:szCs w:val="21"/>
        </w:rPr>
        <w:t xml:space="preserve">3.1  </w:t>
      </w:r>
      <w:r>
        <w:rPr>
          <w:rFonts w:hint="eastAsia" w:ascii="宋体" w:hAnsi="宋体"/>
          <w:b/>
          <w:bCs/>
          <w:szCs w:val="21"/>
        </w:rPr>
        <w:t>候选中标供应商推荐</w:t>
      </w:r>
    </w:p>
    <w:p w14:paraId="790C3FB1">
      <w:pPr>
        <w:numPr>
          <w:ilvl w:val="0"/>
          <w:numId w:val="3"/>
        </w:numPr>
        <w:spacing w:line="360" w:lineRule="exact"/>
        <w:ind w:left="0" w:firstLine="422"/>
        <w:rPr>
          <w:rFonts w:ascii="Calibri" w:hAnsi="Calibri"/>
          <w:szCs w:val="21"/>
        </w:rPr>
      </w:pPr>
      <w:r>
        <w:rPr>
          <w:rFonts w:hint="eastAsia" w:ascii="宋体" w:hAnsi="宋体"/>
          <w:b/>
          <w:szCs w:val="21"/>
        </w:rPr>
        <w:t>综合评分法：</w:t>
      </w:r>
      <w:r>
        <w:rPr>
          <w:rFonts w:hint="eastAsia" w:ascii="宋体" w:hAnsi="宋体"/>
          <w:bCs/>
          <w:szCs w:val="21"/>
        </w:rPr>
        <w:t>每个投标单位的评标总得分以</w:t>
      </w:r>
      <w:r>
        <w:rPr>
          <w:rFonts w:hint="eastAsia" w:ascii="宋体" w:hAnsi="宋体"/>
          <w:szCs w:val="21"/>
        </w:rPr>
        <w:t>所有评标委员会成员的独立评分汇总</w:t>
      </w:r>
      <w:r>
        <w:rPr>
          <w:rFonts w:hint="eastAsia" w:ascii="宋体" w:hAnsi="宋体"/>
          <w:bCs/>
          <w:szCs w:val="21"/>
        </w:rPr>
        <w:t>后确定，</w:t>
      </w:r>
      <w:r>
        <w:rPr>
          <w:rFonts w:ascii="宋体" w:hAnsi="宋体"/>
          <w:bCs/>
          <w:szCs w:val="21"/>
        </w:rPr>
        <w:t>评标总得分相同的，按投标报价由低到高顺序排列；评标总得分且投标报价相同的，按技术指标</w:t>
      </w:r>
      <w:r>
        <w:rPr>
          <w:rFonts w:hint="eastAsia" w:ascii="宋体" w:hAnsi="宋体"/>
          <w:bCs/>
          <w:szCs w:val="21"/>
        </w:rPr>
        <w:t>（技术部分）</w:t>
      </w:r>
      <w:r>
        <w:rPr>
          <w:rFonts w:ascii="宋体" w:hAnsi="宋体"/>
          <w:bCs/>
          <w:szCs w:val="21"/>
        </w:rPr>
        <w:t>得分优劣顺序排列。</w:t>
      </w:r>
      <w:r>
        <w:rPr>
          <w:rFonts w:hint="eastAsia" w:ascii="宋体" w:hAnsi="宋体"/>
          <w:bCs/>
          <w:szCs w:val="21"/>
        </w:rPr>
        <w:t>评标委员会按照综合评分的排名结果推荐中标候选供应商，评标汇总得分排名前列的三家投标人（当且仅当选取第3家候选中标供应商时，如出现并列排名的情形，该名次的所有投标供应商均作为候选中标供应商），作为推荐的候选中标供应商（排名不分先后）。</w:t>
      </w:r>
    </w:p>
    <w:p w14:paraId="795196C8">
      <w:pPr>
        <w:numPr>
          <w:ilvl w:val="0"/>
          <w:numId w:val="3"/>
        </w:numPr>
        <w:spacing w:line="360" w:lineRule="exact"/>
        <w:ind w:left="0" w:firstLine="422"/>
        <w:rPr>
          <w:rFonts w:ascii="宋体" w:hAnsi="宋体"/>
          <w:szCs w:val="21"/>
        </w:rPr>
      </w:pPr>
      <w:r>
        <w:rPr>
          <w:rFonts w:hint="eastAsia" w:ascii="宋体" w:hAnsi="宋体"/>
          <w:b/>
          <w:szCs w:val="21"/>
        </w:rPr>
        <w:t>定性评审法：</w:t>
      </w:r>
      <w:r>
        <w:rPr>
          <w:rFonts w:hint="eastAsia" w:ascii="宋体" w:hAnsi="宋体"/>
          <w:bCs/>
          <w:szCs w:val="21"/>
        </w:rPr>
        <w:t>评标委员会按照定性评审的结果推荐中标候选供应商，所有递交投标文件未被判定为废标或者无效投标的投标人，均推荐为候选中标供应商（排名不分先后）。</w:t>
      </w:r>
    </w:p>
    <w:p w14:paraId="0EF331BB">
      <w:pPr>
        <w:numPr>
          <w:ilvl w:val="0"/>
          <w:numId w:val="3"/>
        </w:numPr>
        <w:spacing w:line="360" w:lineRule="exact"/>
        <w:ind w:left="0" w:firstLine="422"/>
        <w:rPr>
          <w:rFonts w:ascii="宋体" w:hAnsi="宋体"/>
          <w:bCs/>
          <w:i/>
          <w:szCs w:val="21"/>
        </w:rPr>
      </w:pPr>
      <w:r>
        <w:rPr>
          <w:rFonts w:hint="eastAsia" w:ascii="宋体" w:hAnsi="宋体"/>
          <w:b/>
          <w:szCs w:val="21"/>
        </w:rPr>
        <w:t>最低价法：</w:t>
      </w:r>
      <w:r>
        <w:rPr>
          <w:rFonts w:hint="eastAsia" w:ascii="宋体" w:hAnsi="宋体"/>
          <w:bCs/>
          <w:szCs w:val="21"/>
        </w:rPr>
        <w:t>评标委员会按照最低价法评审的结果推荐中标候选供应商，有效投标报价由低到高顺序排列，报价最低的三家投标人（当且仅当选取第3家候选中标供应商时，如出现并列排名的情形，该名次的所有投标供应商均作为候选中标供应商），作为推荐的候选中标供应商（排名不分先后）。</w:t>
      </w:r>
      <w:r>
        <w:rPr>
          <w:rFonts w:hint="eastAsia" w:ascii="宋体" w:hAnsi="宋体"/>
          <w:b/>
          <w:bCs/>
          <w:szCs w:val="21"/>
        </w:rPr>
        <w:t>根据《深圳市财政委员会关于加强招投标评审环节诚信管理的通知》(深财购[2013]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14:paraId="21290135">
      <w:pPr>
        <w:spacing w:line="360" w:lineRule="exact"/>
        <w:ind w:firstLine="422" w:firstLineChars="200"/>
        <w:rPr>
          <w:rFonts w:ascii="宋体" w:hAnsi="宋体"/>
          <w:b/>
          <w:bCs/>
          <w:szCs w:val="21"/>
        </w:rPr>
      </w:pPr>
      <w:r>
        <w:rPr>
          <w:rFonts w:hint="eastAsia" w:ascii="宋体" w:hAnsi="宋体"/>
          <w:b/>
          <w:bCs/>
          <w:szCs w:val="21"/>
        </w:rPr>
        <w:t>3.2  定标</w:t>
      </w:r>
    </w:p>
    <w:p w14:paraId="1C4775E8">
      <w:pPr>
        <w:numPr>
          <w:ilvl w:val="0"/>
          <w:numId w:val="3"/>
        </w:numPr>
        <w:spacing w:line="360" w:lineRule="exact"/>
        <w:ind w:left="0" w:firstLine="422"/>
        <w:rPr>
          <w:rFonts w:ascii="宋体" w:hAnsi="宋体"/>
          <w:bCs/>
          <w:szCs w:val="21"/>
        </w:rPr>
      </w:pPr>
      <w:r>
        <w:rPr>
          <w:rFonts w:hint="eastAsia" w:ascii="宋体" w:hAnsi="宋体"/>
          <w:b/>
          <w:bCs/>
          <w:szCs w:val="21"/>
        </w:rPr>
        <w:t>自定法：</w:t>
      </w:r>
      <w:r>
        <w:rPr>
          <w:rFonts w:hint="eastAsia" w:ascii="宋体" w:hAnsi="宋体"/>
          <w:bCs/>
          <w:szCs w:val="21"/>
        </w:rPr>
        <w:t>采购单位从评标委员会推荐的中标候选人中自行选择确定1名中标供应商。采购人组成的定标委员会选择直线票决法、集体议事法和累积投票法三种方式之一进行定标，具体操作程序按照《深圳市政府采购评标定标分离管理暂行办法》要求执行。</w:t>
      </w:r>
    </w:p>
    <w:p w14:paraId="5AE70415">
      <w:pPr>
        <w:numPr>
          <w:ilvl w:val="0"/>
          <w:numId w:val="3"/>
        </w:numPr>
        <w:spacing w:line="360" w:lineRule="exact"/>
        <w:ind w:left="0" w:firstLine="422" w:firstLineChars="200"/>
        <w:jc w:val="left"/>
        <w:rPr>
          <w:rFonts w:ascii="宋体" w:hAnsi="宋体"/>
          <w:bCs/>
          <w:szCs w:val="21"/>
        </w:rPr>
      </w:pPr>
      <w:r>
        <w:rPr>
          <w:rFonts w:hint="eastAsia" w:ascii="宋体" w:hAnsi="宋体"/>
          <w:b/>
          <w:szCs w:val="21"/>
        </w:rPr>
        <w:t>抽签法：</w:t>
      </w:r>
      <w:r>
        <w:rPr>
          <w:rFonts w:hint="eastAsia" w:ascii="Calibri" w:hAnsi="宋体"/>
          <w:szCs w:val="21"/>
        </w:rPr>
        <w:t>由采购人授权代表和项目评审组织人员组成的抽签小组随机抽取中标供应商。</w:t>
      </w:r>
      <w:r>
        <w:rPr>
          <w:rFonts w:hint="eastAsia" w:ascii="宋体" w:hAnsi="宋体"/>
          <w:b/>
          <w:szCs w:val="21"/>
        </w:rPr>
        <w:t>抽签程序：</w:t>
      </w:r>
      <w:r>
        <w:rPr>
          <w:rFonts w:hint="eastAsia" w:ascii="宋体" w:hAnsi="宋体"/>
          <w:szCs w:val="21"/>
        </w:rPr>
        <w:t>在项目评审</w:t>
      </w:r>
      <w:r>
        <w:rPr>
          <w:rFonts w:ascii="宋体" w:hAnsi="宋体"/>
          <w:szCs w:val="21"/>
        </w:rPr>
        <w:t>结束的当日，</w:t>
      </w:r>
      <w:r>
        <w:rPr>
          <w:rFonts w:hint="eastAsia" w:ascii="宋体" w:hAnsi="宋体"/>
          <w:szCs w:val="21"/>
        </w:rPr>
        <w:t>由采购单位授权代表和</w:t>
      </w:r>
      <w:r>
        <w:rPr>
          <w:rFonts w:hint="eastAsia" w:ascii="宋体" w:hAnsi="宋体"/>
          <w:bCs/>
          <w:szCs w:val="21"/>
        </w:rPr>
        <w:t>项目评审组织人员</w:t>
      </w:r>
      <w:r>
        <w:rPr>
          <w:rFonts w:hint="eastAsia" w:ascii="宋体" w:hAnsi="宋体"/>
          <w:szCs w:val="21"/>
        </w:rPr>
        <w:t>组成抽签小组，在评标委员会的监督下，进行抽签定标。本项目抽签按最大号中标原则，根据中标候选供应商的排序，抽中最大号者为中标供应商。程序如下：①采购单位授权代表进行抽签；②按照候选中标供应商签到顺序先后依次进行抽签；③采购单位授权代表按抽签按钮后如果没有抽到号码球，则再按抽签按钮重抽一次，直至抽到号码球为止；④首轮抽签结束后，因候选中标供应商有重号而无法确定中标结果的，重号的候选中标供应商进行下一轮抽签，以决定该重号候选中标供应商的排序，抽签顺序和中标原则不变，直至确定中标结果为止；⑤采购单位授权代表抽签后须对抽签结果进行签字确认。</w:t>
      </w:r>
    </w:p>
    <w:p w14:paraId="2FB42DC6">
      <w:pPr>
        <w:numPr>
          <w:ilvl w:val="0"/>
          <w:numId w:val="3"/>
        </w:numPr>
        <w:spacing w:line="360" w:lineRule="exact"/>
        <w:ind w:left="0" w:firstLine="386" w:firstLineChars="183"/>
        <w:rPr>
          <w:rFonts w:ascii="宋体" w:hAnsi="宋体"/>
          <w:szCs w:val="21"/>
        </w:rPr>
      </w:pPr>
      <w:r>
        <w:rPr>
          <w:rFonts w:hint="eastAsia" w:ascii="宋体" w:hAnsi="宋体"/>
          <w:b/>
          <w:szCs w:val="21"/>
        </w:rPr>
        <w:t>竞价法：</w:t>
      </w:r>
      <w:r>
        <w:rPr>
          <w:rFonts w:hint="eastAsia" w:ascii="Calibri" w:hAnsi="宋体"/>
          <w:szCs w:val="21"/>
        </w:rPr>
        <w:t>由采购人授权代表和项目评审组织人员组成的竞价小组，组织候选中标供应商进行二次竞价，最终报价最低的为中标供应商。</w:t>
      </w:r>
      <w:r>
        <w:rPr>
          <w:rFonts w:hint="eastAsia" w:ascii="宋体" w:hAnsi="宋体"/>
          <w:b/>
          <w:szCs w:val="21"/>
        </w:rPr>
        <w:t>竞价程序：</w:t>
      </w:r>
      <w:r>
        <w:rPr>
          <w:rFonts w:hint="eastAsia" w:ascii="宋体" w:hAnsi="宋体"/>
          <w:szCs w:val="21"/>
        </w:rPr>
        <w:t>（1）评审结束后首个工作日，由采购人授权代表和项目评审组织人员组成的竞价小组，组织候选中标供应商进行二次竞价；（2）中标候选供应商应派授权代表到场，未在指定时间内到达现场或不到现场的供应商，竞价价格以其投标文件的投标报价为准；（3）供应商授权代表进行书面的二次竞价，每个供应商只有一次报价机会；（4）所有中标候选供应商统一递交二次竞价表；（5）竞价小组成员签字确认竞价结果并现场宣布供应商竞价价格。</w:t>
      </w:r>
    </w:p>
    <w:p w14:paraId="3F020D47">
      <w:pPr>
        <w:spacing w:line="360" w:lineRule="exact"/>
        <w:ind w:firstLine="386" w:firstLineChars="183"/>
        <w:rPr>
          <w:rFonts w:ascii="Calibri" w:hAnsi="宋体"/>
          <w:szCs w:val="21"/>
        </w:rPr>
      </w:pPr>
      <w:r>
        <w:rPr>
          <w:rFonts w:hint="eastAsia" w:ascii="Calibri" w:hAnsi="宋体"/>
          <w:b/>
          <w:szCs w:val="21"/>
        </w:rPr>
        <w:t>备注：</w:t>
      </w:r>
      <w:r>
        <w:rPr>
          <w:rFonts w:hint="eastAsia" w:ascii="Calibri" w:hAnsi="宋体"/>
          <w:szCs w:val="21"/>
        </w:rPr>
        <w:t>①投标人应提前做好准备，按要求准时到达竞价现场；②候选中标供应商竞价的价格不得高于其投标文件中的报价；③二次竞价的价格为投标总价，采购计划条目对应的分项报价按最终报价与原投标报价下浮比例统一下调；④有两家或以上候选中标供应商竞价报价相同且为最低报价时，采用抽签法确定中标供应商。</w:t>
      </w:r>
    </w:p>
    <w:p w14:paraId="4C8C3CFB">
      <w:pPr>
        <w:spacing w:line="360" w:lineRule="exact"/>
        <w:ind w:firstLine="386" w:firstLineChars="183"/>
        <w:rPr>
          <w:rFonts w:hAnsi="宋体"/>
          <w:szCs w:val="21"/>
          <w:shd w:val="pct10" w:color="auto" w:fill="FFFFFF"/>
        </w:rPr>
      </w:pPr>
      <w:r>
        <w:rPr>
          <w:rFonts w:hint="eastAsia" w:ascii="宋体" w:hAnsi="宋体"/>
          <w:b/>
          <w:szCs w:val="21"/>
        </w:rPr>
        <w:t>4、质疑投诉处理：</w:t>
      </w:r>
      <w:r>
        <w:rPr>
          <w:rFonts w:hint="eastAsia" w:ascii="宋体" w:hAnsi="宋体"/>
          <w:szCs w:val="21"/>
        </w:rPr>
        <w:t>确定中标供应商后出现质疑投诉的，按照政府有关规定和程序进行处理：（1）如中标供应商因项目质疑、投诉等问题被取消或放弃中标资格的，则该项目作废标处理重新组织招标；（2）如候选中标供应商因质疑投诉等问题被取消候选中标资格，但符合N+2条件的（N为中标供应商数量），则维持原中标结果；（3）如候选中标供应商因质疑投诉等问题被取消候选中标资格，且不符合N+2条件的（N为中标供应商数量），则该项目作废标处理重新组织招标。</w:t>
      </w:r>
    </w:p>
    <w:p w14:paraId="164C07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A216A"/>
    <w:multiLevelType w:val="multilevel"/>
    <w:tmpl w:val="2A8A216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505EF878"/>
    <w:multiLevelType w:val="singleLevel"/>
    <w:tmpl w:val="505EF878"/>
    <w:lvl w:ilvl="0" w:tentative="0">
      <w:start w:val="2"/>
      <w:numFmt w:val="chineseCounting"/>
      <w:suff w:val="nothing"/>
      <w:lvlText w:val="（%1）"/>
      <w:lvlJc w:val="left"/>
      <w:rPr>
        <w:rFonts w:hint="eastAsia"/>
      </w:rPr>
    </w:lvl>
  </w:abstractNum>
  <w:abstractNum w:abstractNumId="2">
    <w:nsid w:val="758378F5"/>
    <w:multiLevelType w:val="multilevel"/>
    <w:tmpl w:val="758378F5"/>
    <w:lvl w:ilvl="0" w:tentative="0">
      <w:start w:val="1"/>
      <w:numFmt w:val="decimal"/>
      <w:pStyle w:val="9"/>
      <w:lvlText w:val="%1"/>
      <w:lvlJc w:val="left"/>
      <w:pPr>
        <w:ind w:left="893" w:hanging="666"/>
      </w:pPr>
      <w:rPr>
        <w:rFonts w:hint="eastAsia"/>
      </w:r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3OWU1MzY1OTQ5OTJmMDNkZTgyMmQxZGM1NzFkMjQifQ=="/>
  </w:docVars>
  <w:rsids>
    <w:rsidRoot w:val="00946CB7"/>
    <w:rsid w:val="006B0661"/>
    <w:rsid w:val="006D3C7E"/>
    <w:rsid w:val="008E0BE1"/>
    <w:rsid w:val="00946CB7"/>
    <w:rsid w:val="00C63B04"/>
    <w:rsid w:val="00F03849"/>
    <w:rsid w:val="2D597486"/>
    <w:rsid w:val="7A04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宋体" w:hAnsi="Times New Roman" w:eastAsia="宋体" w:cs="Times New Roman"/>
      <w:kern w:val="0"/>
      <w:sz w:val="18"/>
      <w:szCs w:val="20"/>
    </w:r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样式2"/>
    <w:basedOn w:val="1"/>
    <w:qFormat/>
    <w:uiPriority w:val="0"/>
    <w:pPr>
      <w:numPr>
        <w:ilvl w:val="0"/>
        <w:numId w:val="1"/>
      </w:numPr>
      <w:jc w:val="center"/>
    </w:pPr>
    <w:rPr>
      <w:rFonts w:asciiTheme="majorEastAsia" w:hAnsiTheme="majorEastAsia" w:eastAsiaTheme="majorEastAsia"/>
      <w:color w:val="0000FF"/>
      <w:szCs w:val="21"/>
    </w:rPr>
  </w:style>
  <w:style w:type="character" w:customStyle="1" w:styleId="10">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10786</Words>
  <Characters>11103</Characters>
  <Lines>83</Lines>
  <Paragraphs>23</Paragraphs>
  <TotalTime>1</TotalTime>
  <ScaleCrop>false</ScaleCrop>
  <LinksUpToDate>false</LinksUpToDate>
  <CharactersWithSpaces>11281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2020-02-24T03:09:00Z</dcterms:created>
  <dc:creator>Administrator</dc:creator>
  <cp:lastModifiedBy>小陈</cp:lastModifiedBy>
  <dcterms:modified xsi:type="dcterms:W3CDTF">2024-08-05T10:42:08Z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EA9F9558689D42C896387032DC732651_12</vt:lpwstr>
  </property>
</Properties>
</file>