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81" w:rsidRDefault="00EE0E81" w:rsidP="00EE0E81">
      <w:pPr>
        <w:pStyle w:val="1"/>
        <w:spacing w:before="120" w:after="120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项目需求书</w:t>
      </w:r>
    </w:p>
    <w:p w:rsidR="00EE0E81" w:rsidRPr="00EE0E81" w:rsidRDefault="00EE0E81" w:rsidP="00EE0E81">
      <w:pPr>
        <w:pStyle w:val="3"/>
        <w:numPr>
          <w:ilvl w:val="0"/>
          <w:numId w:val="1"/>
        </w:numPr>
        <w:spacing w:before="240" w:after="0" w:line="360" w:lineRule="auto"/>
        <w:ind w:left="0" w:firstLine="56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货物</w:t>
      </w:r>
      <w:r w:rsidRPr="00EE0E81">
        <w:rPr>
          <w:rFonts w:ascii="宋体" w:hAnsi="宋体" w:hint="eastAsia"/>
          <w:sz w:val="24"/>
          <w:szCs w:val="24"/>
        </w:rPr>
        <w:t>清单</w:t>
      </w:r>
    </w:p>
    <w:tbl>
      <w:tblPr>
        <w:tblW w:w="41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"/>
        <w:gridCol w:w="3102"/>
        <w:gridCol w:w="1305"/>
        <w:gridCol w:w="1629"/>
      </w:tblGrid>
      <w:tr w:rsidR="00EE0E81" w:rsidRPr="00EE0E81" w:rsidTr="00EE0E81">
        <w:trPr>
          <w:trHeight w:val="414"/>
          <w:jc w:val="center"/>
        </w:trPr>
        <w:tc>
          <w:tcPr>
            <w:tcW w:w="713" w:type="pct"/>
            <w:vAlign w:val="center"/>
          </w:tcPr>
          <w:p w:rsidR="00EE0E81" w:rsidRPr="00EE0E81" w:rsidRDefault="00EE0E81" w:rsidP="00BA4C59">
            <w:pPr>
              <w:spacing w:line="276" w:lineRule="auto"/>
              <w:ind w:rightChars="12" w:right="25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E0E81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203" w:type="pct"/>
            <w:vAlign w:val="center"/>
          </w:tcPr>
          <w:p w:rsidR="00EE0E81" w:rsidRPr="00EE0E81" w:rsidRDefault="00EE0E81" w:rsidP="00BA4C5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E0E81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927" w:type="pct"/>
            <w:vAlign w:val="center"/>
          </w:tcPr>
          <w:p w:rsidR="00EE0E81" w:rsidRPr="00EE0E81" w:rsidRDefault="00EE0E81" w:rsidP="00BA4C5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E0E81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1157" w:type="pct"/>
            <w:vAlign w:val="center"/>
          </w:tcPr>
          <w:p w:rsidR="00EE0E81" w:rsidRPr="00EE0E81" w:rsidRDefault="00EE0E81" w:rsidP="00BA4C5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E0E81">
              <w:rPr>
                <w:rFonts w:ascii="宋体" w:hAnsi="宋体" w:hint="eastAsia"/>
                <w:b/>
                <w:bCs/>
                <w:sz w:val="24"/>
              </w:rPr>
              <w:t>产地</w:t>
            </w:r>
          </w:p>
        </w:tc>
      </w:tr>
      <w:tr w:rsidR="00EE0E81" w:rsidRPr="00EE0E81" w:rsidTr="00EE0E81">
        <w:trPr>
          <w:trHeight w:val="746"/>
          <w:jc w:val="center"/>
        </w:trPr>
        <w:tc>
          <w:tcPr>
            <w:tcW w:w="713" w:type="pct"/>
            <w:vAlign w:val="center"/>
          </w:tcPr>
          <w:p w:rsidR="00EE0E81" w:rsidRPr="00EE0E81" w:rsidRDefault="00EE0E81" w:rsidP="00BA4C59">
            <w:pPr>
              <w:pStyle w:val="a5"/>
              <w:widowControl w:val="0"/>
              <w:numPr>
                <w:ilvl w:val="0"/>
                <w:numId w:val="2"/>
              </w:numPr>
              <w:spacing w:line="276" w:lineRule="auto"/>
              <w:ind w:left="0" w:rightChars="12" w:right="25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203" w:type="pct"/>
            <w:vAlign w:val="center"/>
          </w:tcPr>
          <w:p w:rsidR="00EE0E81" w:rsidRPr="00EE0E81" w:rsidRDefault="00EE0E81" w:rsidP="00BA4C59">
            <w:pPr>
              <w:jc w:val="center"/>
            </w:pPr>
            <w:r w:rsidRPr="00EE0E81">
              <w:rPr>
                <w:rFonts w:asciiTheme="minorEastAsia" w:eastAsiaTheme="minorEastAsia" w:hAnsiTheme="minorEastAsia" w:hint="eastAsia"/>
                <w:kern w:val="0"/>
                <w:sz w:val="24"/>
              </w:rPr>
              <w:t>医用气体汇流排</w:t>
            </w:r>
          </w:p>
        </w:tc>
        <w:tc>
          <w:tcPr>
            <w:tcW w:w="927" w:type="pct"/>
            <w:vAlign w:val="center"/>
          </w:tcPr>
          <w:p w:rsidR="00EE0E81" w:rsidRPr="00EE0E81" w:rsidRDefault="00EE0E81" w:rsidP="00BA4C59">
            <w:pPr>
              <w:jc w:val="center"/>
            </w:pPr>
            <w:r w:rsidRPr="00EE0E81">
              <w:rPr>
                <w:rFonts w:hint="eastAsia"/>
              </w:rPr>
              <w:t>2</w:t>
            </w:r>
          </w:p>
        </w:tc>
        <w:tc>
          <w:tcPr>
            <w:tcW w:w="1157" w:type="pct"/>
            <w:vAlign w:val="center"/>
          </w:tcPr>
          <w:p w:rsidR="00EE0E81" w:rsidRPr="00EE0E81" w:rsidRDefault="00EE0E81" w:rsidP="00BA4C59">
            <w:pPr>
              <w:jc w:val="center"/>
            </w:pPr>
            <w:r w:rsidRPr="00EE0E81">
              <w:rPr>
                <w:rFonts w:hint="eastAsia"/>
              </w:rPr>
              <w:t>接受进口</w:t>
            </w:r>
          </w:p>
        </w:tc>
      </w:tr>
    </w:tbl>
    <w:p w:rsidR="00EE0E81" w:rsidRPr="00EE0E81" w:rsidRDefault="00EE0E81" w:rsidP="00EE0E81">
      <w:pPr>
        <w:pStyle w:val="3"/>
        <w:numPr>
          <w:ilvl w:val="0"/>
          <w:numId w:val="1"/>
        </w:numPr>
        <w:spacing w:before="240" w:after="0" w:line="360" w:lineRule="auto"/>
        <w:ind w:left="0" w:firstLine="567"/>
        <w:rPr>
          <w:rFonts w:ascii="宋体" w:hAnsi="宋体"/>
          <w:sz w:val="24"/>
          <w:szCs w:val="24"/>
        </w:rPr>
      </w:pPr>
      <w:r w:rsidRPr="00EE0E81">
        <w:rPr>
          <w:rFonts w:ascii="宋体" w:hAnsi="宋体" w:hint="eastAsia"/>
          <w:sz w:val="24"/>
          <w:szCs w:val="24"/>
        </w:rPr>
        <w:t>具体技术要求</w:t>
      </w:r>
    </w:p>
    <w:p w:rsidR="00EE0E81" w:rsidRPr="00EE0E81" w:rsidRDefault="00EE0E81" w:rsidP="00EE0E81">
      <w:pPr>
        <w:rPr>
          <w:rFonts w:asciiTheme="minorEastAsia" w:eastAsiaTheme="minorEastAsia" w:hAnsiTheme="minorEastAsia"/>
          <w:sz w:val="24"/>
        </w:rPr>
      </w:pPr>
      <w:r w:rsidRPr="00EE0E81">
        <w:rPr>
          <w:rFonts w:ascii="宋体" w:hAnsi="宋体" w:hint="eastAsia"/>
          <w:b/>
          <w:sz w:val="24"/>
        </w:rPr>
        <w:t>备注：提供原厂技术彩页，原厂技术彩页必须支持所提供的产品。</w:t>
      </w:r>
      <w:r w:rsidRPr="00EE0E81">
        <w:rPr>
          <w:rFonts w:asciiTheme="minorEastAsia" w:eastAsiaTheme="minorEastAsia" w:hAnsiTheme="minorEastAsia" w:hint="eastAsia"/>
          <w:sz w:val="24"/>
        </w:rPr>
        <w:tab/>
      </w:r>
    </w:p>
    <w:p w:rsidR="00EE0E81" w:rsidRPr="00EE0E81" w:rsidRDefault="00EE0E81" w:rsidP="00EE0E81">
      <w:pPr>
        <w:widowControl/>
        <w:jc w:val="left"/>
        <w:rPr>
          <w:rFonts w:ascii="宋体" w:hAnsi="宋体"/>
          <w:sz w:val="24"/>
        </w:rPr>
      </w:pPr>
      <w:r w:rsidRPr="00EE0E81">
        <w:rPr>
          <w:rFonts w:ascii="宋体" w:hAnsi="宋体" w:hint="eastAsia"/>
          <w:sz w:val="24"/>
        </w:rPr>
        <w:t>1.▲气瓶接口及切换功能： 在汇流排的左右两侧各设一组气瓶接口，并具备全自动切换功能。当一侧气瓶无法满足使用需求时，系统将自动切换至另一侧。用户可根据需要，自行设定气瓶压力低于多少时，系统自动切换气瓶。</w:t>
      </w:r>
    </w:p>
    <w:p w:rsidR="00EE0E81" w:rsidRPr="00EE0E81" w:rsidRDefault="00EE0E81" w:rsidP="00EE0E81">
      <w:pPr>
        <w:widowControl/>
        <w:jc w:val="left"/>
        <w:rPr>
          <w:rFonts w:ascii="宋体" w:hAnsi="宋体"/>
          <w:sz w:val="24"/>
        </w:rPr>
      </w:pPr>
      <w:r w:rsidRPr="00EE0E81">
        <w:rPr>
          <w:rFonts w:ascii="宋体" w:hAnsi="宋体" w:hint="eastAsia"/>
          <w:sz w:val="24"/>
        </w:rPr>
        <w:t>2.过滤器配置： 汇流排的进气侧及气瓶配套的金属软管内置气瓶需设过滤器，能够有效过滤更换气瓶过程中可能产生的杂质。</w:t>
      </w:r>
    </w:p>
    <w:p w:rsidR="00EE0E81" w:rsidRDefault="00EE0E81" w:rsidP="00EE0E81">
      <w:pPr>
        <w:widowControl/>
        <w:jc w:val="left"/>
        <w:rPr>
          <w:rFonts w:ascii="宋体" w:hAnsi="宋体"/>
          <w:sz w:val="24"/>
        </w:rPr>
      </w:pPr>
      <w:r w:rsidRPr="00EE0E81">
        <w:rPr>
          <w:rFonts w:ascii="宋体" w:hAnsi="宋体" w:hint="eastAsia"/>
          <w:sz w:val="24"/>
        </w:rPr>
        <w:t>3.压力稳定性： 汇流排内部需设有高压低压</w:t>
      </w:r>
      <w:r>
        <w:rPr>
          <w:rFonts w:ascii="宋体" w:hAnsi="宋体" w:hint="eastAsia"/>
          <w:sz w:val="24"/>
        </w:rPr>
        <w:t>两级减压阀，确保输出压力的稳定性。二级减压器采用双回路设计，一旦单个减压器出现故障，系统可实现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停气检修。</w:t>
      </w:r>
    </w:p>
    <w:p w:rsidR="00EE0E81" w:rsidRDefault="00EE0E81" w:rsidP="00EE0E8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4▲减压阀特性： 一级减压器能有效抑制因用气波动而引起的输出压力变化，保证供气压力的稳定。二次减压阀输出压力最大量程为0.25MPA。</w:t>
      </w:r>
    </w:p>
    <w:p w:rsidR="00EE0E81" w:rsidRDefault="00EE0E81" w:rsidP="00EE0E8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5.材料和工艺： 汇流排内部阀门、连接件均采用符合医疗洁净要求的材质。内部管路保证质量和气密性。整个系统需经过严格的耐压测试，安全可靠。</w:t>
      </w:r>
    </w:p>
    <w:p w:rsidR="00EE0E81" w:rsidRDefault="00EE0E81" w:rsidP="00EE0E8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6.结构和安装： 汇流排结构简单，安装方式多样，可拓展。</w:t>
      </w:r>
    </w:p>
    <w:p w:rsidR="00EE0E81" w:rsidRDefault="00EE0E81" w:rsidP="00EE0E8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7.系统状态显示： LED显示系统状态，包括正常供气、满瓶备用、空瓶换气提醒等。</w:t>
      </w:r>
    </w:p>
    <w:p w:rsidR="00EE0E81" w:rsidRDefault="00EE0E81" w:rsidP="00EE0E8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8.▲气压显示和监控： 数字化实时显示气瓶气压和送气压力，带信号远传接口和继电器报警信号接点，便于医院进行集中监控。</w:t>
      </w:r>
    </w:p>
    <w:p w:rsidR="00EE0E81" w:rsidRDefault="00EE0E81" w:rsidP="00EE0E8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9.责任保险：汇流排提供产品责任保险。汇流排出口输出流量≥100m³/h；</w:t>
      </w:r>
    </w:p>
    <w:p w:rsidR="007D5AAB" w:rsidRPr="00EE0E81" w:rsidRDefault="00EE0E81" w:rsidP="00EE0E8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10、要求需提供设备安装及工程服务。</w:t>
      </w:r>
    </w:p>
    <w:sectPr w:rsidR="007D5AAB" w:rsidRPr="00EE0E81" w:rsidSect="007D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E81" w:rsidRDefault="00EE0E81" w:rsidP="00EE0E81">
      <w:r>
        <w:separator/>
      </w:r>
    </w:p>
  </w:endnote>
  <w:endnote w:type="continuationSeparator" w:id="0">
    <w:p w:rsidR="00EE0E81" w:rsidRDefault="00EE0E81" w:rsidP="00EE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E81" w:rsidRDefault="00EE0E81" w:rsidP="00EE0E81">
      <w:r>
        <w:separator/>
      </w:r>
    </w:p>
  </w:footnote>
  <w:footnote w:type="continuationSeparator" w:id="0">
    <w:p w:rsidR="00EE0E81" w:rsidRDefault="00EE0E81" w:rsidP="00EE0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1719F"/>
    <w:multiLevelType w:val="multilevel"/>
    <w:tmpl w:val="4501719F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747AE0"/>
    <w:multiLevelType w:val="multilevel"/>
    <w:tmpl w:val="59747AE0"/>
    <w:lvl w:ilvl="0">
      <w:start w:val="1"/>
      <w:numFmt w:val="chineseCountingThousand"/>
      <w:lvlText w:val="%1、"/>
      <w:lvlJc w:val="left"/>
      <w:pPr>
        <w:ind w:left="661" w:hanging="420"/>
      </w:p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E81"/>
    <w:rsid w:val="007D5AAB"/>
    <w:rsid w:val="00EE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0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E0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EE0E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E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E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E0E8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EE0E8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List Paragraph"/>
    <w:basedOn w:val="a"/>
    <w:autoRedefine/>
    <w:uiPriority w:val="99"/>
    <w:qFormat/>
    <w:rsid w:val="00EE0E81"/>
    <w:pPr>
      <w:widowControl/>
      <w:ind w:firstLineChars="200"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Chinese ORG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2024-04-26T02:46:00Z</dcterms:created>
  <dcterms:modified xsi:type="dcterms:W3CDTF">2024-04-26T02:46:00Z</dcterms:modified>
</cp:coreProperties>
</file>