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34" w:rsidRDefault="00B31034" w:rsidP="00B3103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严重不良事件</w:t>
      </w:r>
      <w:r w:rsidR="006E67A6"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SUSAR</w:t>
      </w:r>
      <w:r>
        <w:rPr>
          <w:rFonts w:hint="eastAsia"/>
          <w:sz w:val="28"/>
          <w:szCs w:val="28"/>
        </w:rPr>
        <w:t>审查申请表</w:t>
      </w:r>
    </w:p>
    <w:tbl>
      <w:tblPr>
        <w:tblW w:w="9356" w:type="dxa"/>
        <w:jc w:val="center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/>
      </w:tblPr>
      <w:tblGrid>
        <w:gridCol w:w="1575"/>
        <w:gridCol w:w="82"/>
        <w:gridCol w:w="2595"/>
        <w:gridCol w:w="675"/>
        <w:gridCol w:w="1270"/>
        <w:gridCol w:w="182"/>
        <w:gridCol w:w="2977"/>
      </w:tblGrid>
      <w:tr w:rsidR="00467E1A" w:rsidRPr="00C97ECC" w:rsidTr="00467E1A">
        <w:trPr>
          <w:trHeight w:val="105"/>
          <w:jc w:val="center"/>
        </w:trPr>
        <w:tc>
          <w:tcPr>
            <w:tcW w:w="1657" w:type="dxa"/>
            <w:gridSpan w:val="2"/>
            <w:vMerge w:val="restart"/>
            <w:vAlign w:val="center"/>
          </w:tcPr>
          <w:p w:rsidR="00467E1A" w:rsidRPr="00C97ECC" w:rsidRDefault="00467E1A" w:rsidP="000C5050">
            <w:pPr>
              <w:widowControl/>
              <w:ind w:left="-540"/>
              <w:jc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报告类型</w:t>
            </w:r>
          </w:p>
        </w:tc>
        <w:tc>
          <w:tcPr>
            <w:tcW w:w="4540" w:type="dxa"/>
            <w:gridSpan w:val="3"/>
            <w:vAlign w:val="center"/>
          </w:tcPr>
          <w:p w:rsidR="00467E1A" w:rsidRPr="00C97ECC" w:rsidRDefault="00467E1A" w:rsidP="000C5050">
            <w:pPr>
              <w:widowControl/>
              <w:ind w:leftChars="-257" w:left="-540" w:firstLineChars="250" w:firstLine="525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□ 严重不良事件          </w:t>
            </w:r>
            <w:r>
              <w:rPr>
                <w:rFonts w:asciiTheme="minorEastAsia" w:hAnsiTheme="minorEastAsia" w:cs="仿宋" w:hint="eastAsia"/>
                <w:color w:val="000000"/>
                <w:szCs w:val="21"/>
              </w:rPr>
              <w:t xml:space="preserve">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□SUSAR</w:t>
            </w:r>
          </w:p>
        </w:tc>
        <w:tc>
          <w:tcPr>
            <w:tcW w:w="3159" w:type="dxa"/>
            <w:gridSpan w:val="2"/>
            <w:vMerge w:val="restart"/>
            <w:vAlign w:val="center"/>
          </w:tcPr>
          <w:p w:rsidR="00467E1A" w:rsidRPr="00C97ECC" w:rsidRDefault="00467E1A" w:rsidP="000C5050">
            <w:pPr>
              <w:widowControl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报告时间：   年  月   日</w:t>
            </w:r>
          </w:p>
        </w:tc>
      </w:tr>
      <w:tr w:rsidR="00467E1A" w:rsidRPr="00C97ECC" w:rsidTr="00467E1A">
        <w:trPr>
          <w:trHeight w:val="315"/>
          <w:jc w:val="center"/>
        </w:trPr>
        <w:tc>
          <w:tcPr>
            <w:tcW w:w="1657" w:type="dxa"/>
            <w:gridSpan w:val="2"/>
            <w:vMerge/>
            <w:vAlign w:val="center"/>
          </w:tcPr>
          <w:p w:rsidR="00467E1A" w:rsidRPr="00C97ECC" w:rsidRDefault="00467E1A" w:rsidP="000C5050">
            <w:pPr>
              <w:widowControl/>
              <w:ind w:left="-540"/>
              <w:jc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4540" w:type="dxa"/>
            <w:gridSpan w:val="3"/>
            <w:vAlign w:val="center"/>
          </w:tcPr>
          <w:p w:rsidR="00467E1A" w:rsidRPr="00C97ECC" w:rsidRDefault="00467E1A" w:rsidP="000C5050">
            <w:pPr>
              <w:ind w:left="-540"/>
              <w:jc w:val="center"/>
              <w:rPr>
                <w:rFonts w:asciiTheme="minorEastAsia" w:hAnsiTheme="minorEastAsia" w:cs="仿宋"/>
                <w:color w:val="000000"/>
                <w:szCs w:val="21"/>
              </w:rPr>
            </w:pPr>
            <w:bookmarkStart w:id="0" w:name="OLE_LINK1"/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bookmarkEnd w:id="0"/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首次报告 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随访报告 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总结报告</w:t>
            </w:r>
          </w:p>
        </w:tc>
        <w:tc>
          <w:tcPr>
            <w:tcW w:w="3159" w:type="dxa"/>
            <w:gridSpan w:val="2"/>
            <w:vMerge/>
            <w:vAlign w:val="center"/>
          </w:tcPr>
          <w:p w:rsidR="00467E1A" w:rsidRPr="00C97ECC" w:rsidRDefault="00467E1A" w:rsidP="000C5050">
            <w:pPr>
              <w:widowControl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cantSplit/>
          <w:trHeight w:val="60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jc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cantSplit/>
          <w:trHeight w:val="60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研究者</w:t>
            </w:r>
          </w:p>
        </w:tc>
        <w:tc>
          <w:tcPr>
            <w:tcW w:w="3270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1452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研究科室</w:t>
            </w:r>
          </w:p>
        </w:tc>
        <w:tc>
          <w:tcPr>
            <w:tcW w:w="2977" w:type="dxa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cantSplit/>
          <w:trHeight w:val="60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申办者</w:t>
            </w:r>
          </w:p>
        </w:tc>
        <w:tc>
          <w:tcPr>
            <w:tcW w:w="3270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  <w:shd w:val="pct10" w:color="auto" w:fill="FFFFFF"/>
              </w:rPr>
            </w:pPr>
          </w:p>
        </w:tc>
        <w:tc>
          <w:tcPr>
            <w:tcW w:w="1452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  <w:shd w:val="pct10" w:color="auto" w:fill="FFFFFF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伦理初始审查批件号</w:t>
            </w:r>
          </w:p>
        </w:tc>
        <w:tc>
          <w:tcPr>
            <w:tcW w:w="2977" w:type="dxa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cantSplit/>
          <w:trHeight w:val="39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研究涉及试验药物/器械/干预措施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药物：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中药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化学药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治疗用生物制品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预防用生物制品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其它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     </w:t>
            </w:r>
            <w:r w:rsidRPr="00C97ECC">
              <w:rPr>
                <w:rFonts w:asciiTheme="minorEastAsia" w:hAnsiTheme="minorEastAsia" w:cs="仿宋"/>
                <w:color w:val="000000"/>
                <w:kern w:val="0"/>
                <w:szCs w:val="21"/>
              </w:rPr>
              <w:t xml:space="preserve"> 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Ⅰ期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Ⅱ期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Ⅲ 期 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Ⅳ期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生物等效性试验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临床验证</w:t>
            </w:r>
          </w:p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医疗器械：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Ⅱ类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Ⅲ 类 </w:t>
            </w:r>
          </w:p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  <w:u w:val="single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其他干预措施请描述：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  <w:u w:val="single"/>
              </w:rPr>
              <w:t xml:space="preserve">                        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467E1A" w:rsidRPr="00C97ECC" w:rsidTr="00467E1A">
        <w:trPr>
          <w:cantSplit/>
          <w:trHeight w:val="740"/>
          <w:jc w:val="center"/>
        </w:trPr>
        <w:tc>
          <w:tcPr>
            <w:tcW w:w="1657" w:type="dxa"/>
            <w:gridSpan w:val="2"/>
            <w:vMerge w:val="restart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受试者基本情况</w:t>
            </w:r>
          </w:p>
        </w:tc>
        <w:tc>
          <w:tcPr>
            <w:tcW w:w="2595" w:type="dxa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姓名拼音首字母缩写或编码: </w:t>
            </w:r>
          </w:p>
        </w:tc>
        <w:tc>
          <w:tcPr>
            <w:tcW w:w="1945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出生日期: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softHyphen/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softHyphen/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softHyphen/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softHyphen/>
            </w:r>
          </w:p>
          <w:p w:rsidR="00467E1A" w:rsidRPr="00C97ECC" w:rsidRDefault="00467E1A" w:rsidP="000C5050">
            <w:pPr>
              <w:widowControl/>
              <w:spacing w:before="100" w:after="100"/>
              <w:ind w:firstLineChars="200" w:firstLine="42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年   月   日</w:t>
            </w:r>
          </w:p>
        </w:tc>
        <w:tc>
          <w:tcPr>
            <w:tcW w:w="3159" w:type="dxa"/>
            <w:gridSpan w:val="2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性别:</w:t>
            </w:r>
          </w:p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男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女</w:t>
            </w:r>
          </w:p>
        </w:tc>
      </w:tr>
      <w:tr w:rsidR="00467E1A" w:rsidRPr="00C97ECC" w:rsidTr="00467E1A">
        <w:trPr>
          <w:cantSplit/>
          <w:trHeight w:val="390"/>
          <w:jc w:val="center"/>
        </w:trPr>
        <w:tc>
          <w:tcPr>
            <w:tcW w:w="1657" w:type="dxa"/>
            <w:gridSpan w:val="2"/>
            <w:vMerge/>
            <w:vAlign w:val="center"/>
          </w:tcPr>
          <w:p w:rsidR="00467E1A" w:rsidRPr="00C97ECC" w:rsidRDefault="00467E1A" w:rsidP="000C5050">
            <w:pPr>
              <w:widowControl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合并疾病及治疗：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有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无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1. 疾病：          治疗药物：          用法用量：     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2. 疾病：          治疗药物：          用法用量：     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3. 疾病：          治疗药物：</w:t>
            </w:r>
            <w:r w:rsidR="00620254"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instrText xml:space="preserve"> FORMTEXT </w:instrText>
            </w:r>
            <w:r w:rsidR="00620254"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</w:r>
            <w:r w:rsidR="00620254"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fldChar w:fldCharType="end"/>
            </w:r>
            <w:bookmarkEnd w:id="1"/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          用法用量：     </w:t>
            </w:r>
          </w:p>
        </w:tc>
      </w:tr>
      <w:tr w:rsidR="00467E1A" w:rsidRPr="00C97ECC" w:rsidTr="00467E1A">
        <w:trPr>
          <w:trHeight w:val="764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严重不良事件/SUSAR的医学术语(诊断)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trHeight w:val="615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严重不良事件/SUSAR情况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死亡  死亡日期      年     月     日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导致住院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延长住院时间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伤残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功能障碍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  <w:u w:val="single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导致先天畸形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危及生命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其它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  <w:u w:val="single"/>
              </w:rPr>
              <w:t xml:space="preserve">                   </w:t>
            </w:r>
          </w:p>
        </w:tc>
      </w:tr>
      <w:tr w:rsidR="00467E1A" w:rsidRPr="00C97ECC" w:rsidTr="00467E1A">
        <w:trPr>
          <w:cantSplit/>
          <w:trHeight w:val="390"/>
          <w:jc w:val="center"/>
        </w:trPr>
        <w:tc>
          <w:tcPr>
            <w:tcW w:w="6197" w:type="dxa"/>
            <w:gridSpan w:val="5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严重不良事件/SUSAR发生时间      年     月     日</w:t>
            </w:r>
          </w:p>
        </w:tc>
        <w:tc>
          <w:tcPr>
            <w:tcW w:w="3159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ind w:left="840" w:hangingChars="400" w:hanging="84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研究者获知时间：  年  月  日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对试验用药/器械等干预采取的措施</w:t>
            </w:r>
          </w:p>
        </w:tc>
        <w:tc>
          <w:tcPr>
            <w:tcW w:w="7699" w:type="dxa"/>
            <w:gridSpan w:val="5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继续使用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减小剂量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暂停后又恢复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停用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严重不良事件/SUSAR转归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症状消失（后遗症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有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无）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症状持续 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死亡  死亡日期        年     月     日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lastRenderedPageBreak/>
              <w:t>/SUSAR与研究的关系</w:t>
            </w:r>
          </w:p>
        </w:tc>
        <w:tc>
          <w:tcPr>
            <w:tcW w:w="7699" w:type="dxa"/>
            <w:gridSpan w:val="5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lastRenderedPageBreak/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肯定有关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可能有关 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可能无关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肯定无关 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无法判定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Merge w:val="restart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lastRenderedPageBreak/>
              <w:t>严重不良事件/SUSAR的影响</w:t>
            </w:r>
          </w:p>
        </w:tc>
        <w:tc>
          <w:tcPr>
            <w:tcW w:w="7699" w:type="dxa"/>
            <w:gridSpan w:val="5"/>
            <w:vAlign w:val="center"/>
          </w:tcPr>
          <w:p w:rsidR="00467E1A" w:rsidRPr="00C97ECC" w:rsidRDefault="00467E1A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是否影响受试者的安全：□是   □否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Merge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7699" w:type="dxa"/>
            <w:gridSpan w:val="5"/>
            <w:vAlign w:val="center"/>
          </w:tcPr>
          <w:p w:rsidR="00467E1A" w:rsidRPr="00C97ECC" w:rsidRDefault="00467E1A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是否影响受试者的权益：□是   □否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Merge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7699" w:type="dxa"/>
            <w:gridSpan w:val="5"/>
            <w:vAlign w:val="center"/>
          </w:tcPr>
          <w:p w:rsidR="00467E1A" w:rsidRPr="00C97ECC" w:rsidRDefault="00467E1A" w:rsidP="000C5050">
            <w:pPr>
              <w:spacing w:line="360" w:lineRule="auto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是否对研究结果产生显著影响：□是   □否</w:t>
            </w:r>
          </w:p>
        </w:tc>
      </w:tr>
      <w:tr w:rsidR="00467E1A" w:rsidRPr="00C97ECC" w:rsidTr="00467E1A">
        <w:trPr>
          <w:trHeight w:val="390"/>
          <w:jc w:val="center"/>
        </w:trPr>
        <w:tc>
          <w:tcPr>
            <w:tcW w:w="1657" w:type="dxa"/>
            <w:gridSpan w:val="2"/>
            <w:vAlign w:val="center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严重不良事件/SUSAR报道情况</w:t>
            </w:r>
          </w:p>
        </w:tc>
        <w:tc>
          <w:tcPr>
            <w:tcW w:w="7699" w:type="dxa"/>
            <w:gridSpan w:val="5"/>
          </w:tcPr>
          <w:p w:rsidR="00467E1A" w:rsidRPr="00C97ECC" w:rsidRDefault="00467E1A" w:rsidP="000C5050">
            <w:pPr>
              <w:widowControl/>
              <w:spacing w:before="100" w:after="100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国内：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有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无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不详；      国外：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有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无 </w:t>
            </w:r>
            <w:r w:rsidRPr="00C97ECC">
              <w:rPr>
                <w:rFonts w:asciiTheme="minorEastAsia" w:hAnsiTheme="minorEastAsia" w:cs="仿宋" w:hint="eastAsia"/>
                <w:color w:val="000000"/>
                <w:szCs w:val="21"/>
              </w:rPr>
              <w:t>□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不详</w:t>
            </w:r>
          </w:p>
        </w:tc>
      </w:tr>
      <w:tr w:rsidR="00467E1A" w:rsidRPr="00C97ECC" w:rsidTr="00467E1A">
        <w:trPr>
          <w:trHeight w:val="7170"/>
          <w:jc w:val="center"/>
        </w:trPr>
        <w:tc>
          <w:tcPr>
            <w:tcW w:w="9356" w:type="dxa"/>
            <w:gridSpan w:val="7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严重不良事件/SUSAR发生及处理的详细情况：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  <w:shd w:val="pct10" w:color="auto" w:fill="FFFFFF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  <w:shd w:val="pct10" w:color="auto" w:fill="FFFFFF"/>
              </w:rPr>
              <w:t>（“首次报告”应包含但不应仅限于以下信息）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1、患者入组编号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入组时间和入组临床试验名称（编号）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患者疾病诊断和既往重要病史或合并疾病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2、入组后已完成的疗程和发生严重不良事件/SUSAR前的末次干预事件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3、发生严重不良事件/SUSAR前的相关症状、体征、程度分级、所做的相关检查和治疗的情况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4、确认为严重不良事件/SUSAR后的详细救治过程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有助于证实严重不良事件/SUSAR严重性的检查结果等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5、研究者判断该严重不良事件/SUSAR与研究的相关性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6、其他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 xml:space="preserve">   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  <w:shd w:val="pct10" w:color="auto" w:fill="FFFFFF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  <w:shd w:val="pct10" w:color="auto" w:fill="FFFFFF"/>
              </w:rPr>
              <w:t>（“随访或总结报告”应包含但不应仅限于以下信息）</w:t>
            </w:r>
          </w:p>
          <w:p w:rsidR="00467E1A" w:rsidRPr="00C97ECC" w:rsidRDefault="00467E1A" w:rsidP="00467E1A">
            <w:pPr>
              <w:widowControl/>
              <w:numPr>
                <w:ilvl w:val="0"/>
                <w:numId w:val="1"/>
              </w:numPr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患者入组编号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入组时间和入组临床试验名称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患者疾病诊断</w:t>
            </w:r>
          </w:p>
          <w:p w:rsidR="00467E1A" w:rsidRPr="00C97ECC" w:rsidRDefault="00467E1A" w:rsidP="00467E1A">
            <w:pPr>
              <w:widowControl/>
              <w:numPr>
                <w:ilvl w:val="0"/>
                <w:numId w:val="1"/>
              </w:numPr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自首次报告后</w:t>
            </w:r>
            <w:r w:rsidRPr="00C97ECC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该严重不良事件/SUSAR发生的转归、治疗及相关检查情况</w:t>
            </w:r>
          </w:p>
          <w:p w:rsidR="00467E1A" w:rsidRPr="00C97ECC" w:rsidRDefault="00467E1A" w:rsidP="00467E1A">
            <w:pPr>
              <w:widowControl/>
              <w:numPr>
                <w:ilvl w:val="0"/>
                <w:numId w:val="1"/>
              </w:numPr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再次评价该严重不良事件/SUSAR与研究的相关性</w:t>
            </w:r>
          </w:p>
          <w:p w:rsidR="00467E1A" w:rsidRPr="00C97ECC" w:rsidRDefault="00467E1A" w:rsidP="00467E1A">
            <w:pPr>
              <w:widowControl/>
              <w:numPr>
                <w:ilvl w:val="0"/>
                <w:numId w:val="1"/>
              </w:numPr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明确是否恢复治疗或退出试验</w:t>
            </w:r>
          </w:p>
          <w:p w:rsidR="00467E1A" w:rsidRPr="00C97ECC" w:rsidRDefault="00467E1A" w:rsidP="00467E1A">
            <w:pPr>
              <w:widowControl/>
              <w:numPr>
                <w:ilvl w:val="0"/>
                <w:numId w:val="1"/>
              </w:numPr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其他</w:t>
            </w:r>
          </w:p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467E1A" w:rsidRPr="00C97ECC" w:rsidTr="00467E1A">
        <w:trPr>
          <w:trHeight w:val="1032"/>
          <w:jc w:val="center"/>
        </w:trPr>
        <w:tc>
          <w:tcPr>
            <w:tcW w:w="1575" w:type="dxa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研究者签字</w:t>
            </w:r>
          </w:p>
        </w:tc>
        <w:tc>
          <w:tcPr>
            <w:tcW w:w="7781" w:type="dxa"/>
            <w:gridSpan w:val="6"/>
          </w:tcPr>
          <w:p w:rsidR="00467E1A" w:rsidRPr="00C97ECC" w:rsidRDefault="00467E1A" w:rsidP="000C5050">
            <w:pPr>
              <w:widowControl/>
              <w:spacing w:before="100" w:after="10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  <w:p w:rsidR="00467E1A" w:rsidRPr="00C97ECC" w:rsidRDefault="00467E1A" w:rsidP="000C5050">
            <w:pPr>
              <w:widowControl/>
              <w:spacing w:before="100" w:after="100"/>
              <w:ind w:firstLineChars="2900" w:firstLine="6090"/>
              <w:jc w:val="left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97EC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年   月   日</w:t>
            </w:r>
          </w:p>
        </w:tc>
      </w:tr>
    </w:tbl>
    <w:p w:rsidR="003125EA" w:rsidRDefault="003125EA"/>
    <w:sectPr w:rsidR="003125EA" w:rsidSect="00467E1A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E4F" w:rsidRDefault="00680E4F" w:rsidP="00B31034">
      <w:r>
        <w:separator/>
      </w:r>
    </w:p>
  </w:endnote>
  <w:endnote w:type="continuationSeparator" w:id="1">
    <w:p w:rsidR="00680E4F" w:rsidRDefault="00680E4F" w:rsidP="00B31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E4F" w:rsidRDefault="00680E4F" w:rsidP="00B31034">
      <w:r>
        <w:separator/>
      </w:r>
    </w:p>
  </w:footnote>
  <w:footnote w:type="continuationSeparator" w:id="1">
    <w:p w:rsidR="00680E4F" w:rsidRDefault="00680E4F" w:rsidP="00B31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0" w:type="auto"/>
      <w:jc w:val="center"/>
      <w:tblInd w:w="-459" w:type="dxa"/>
      <w:tblLook w:val="04A0"/>
    </w:tblPr>
    <w:tblGrid>
      <w:gridCol w:w="2323"/>
      <w:gridCol w:w="2396"/>
      <w:gridCol w:w="2131"/>
      <w:gridCol w:w="2131"/>
    </w:tblGrid>
    <w:tr w:rsidR="00467E1A" w:rsidRPr="00A747E7" w:rsidTr="000C5050">
      <w:trPr>
        <w:trHeight w:val="303"/>
        <w:jc w:val="center"/>
      </w:trPr>
      <w:tc>
        <w:tcPr>
          <w:tcW w:w="2323" w:type="dxa"/>
          <w:vMerge w:val="restart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120015</wp:posOffset>
                </wp:positionV>
                <wp:extent cx="1293495" cy="304800"/>
                <wp:effectExtent l="19050" t="0" r="1905" b="0"/>
                <wp:wrapNone/>
                <wp:docPr id="17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396" w:type="dxa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IRB-005-V3</w:t>
          </w:r>
          <w:r w:rsidRPr="00A747E7">
            <w:rPr>
              <w:rFonts w:hint="eastAsia"/>
            </w:rPr>
            <w:t>.0</w:t>
          </w:r>
        </w:p>
      </w:tc>
    </w:tr>
    <w:tr w:rsidR="00467E1A" w:rsidRPr="00A747E7" w:rsidTr="000C5050">
      <w:trPr>
        <w:jc w:val="center"/>
      </w:trPr>
      <w:tc>
        <w:tcPr>
          <w:tcW w:w="2323" w:type="dxa"/>
          <w:vMerge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396" w:type="dxa"/>
          <w:vMerge w:val="restart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严重不良事件</w:t>
          </w:r>
          <w:r>
            <w:rPr>
              <w:rFonts w:hint="eastAsia"/>
              <w:sz w:val="21"/>
              <w:szCs w:val="21"/>
            </w:rPr>
            <w:t>/SUSAR</w:t>
          </w:r>
          <w:r>
            <w:rPr>
              <w:rFonts w:hint="eastAsia"/>
              <w:sz w:val="21"/>
              <w:szCs w:val="21"/>
            </w:rPr>
            <w:t>审查申请表</w:t>
          </w:r>
        </w:p>
      </w:tc>
      <w:tc>
        <w:tcPr>
          <w:tcW w:w="2131" w:type="dxa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467E1A" w:rsidRDefault="00467E1A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V3.0/2020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467E1A" w:rsidRPr="00A747E7" w:rsidTr="000C5050">
      <w:trPr>
        <w:jc w:val="center"/>
      </w:trPr>
      <w:tc>
        <w:tcPr>
          <w:tcW w:w="2323" w:type="dxa"/>
          <w:vMerge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2396" w:type="dxa"/>
          <w:vMerge/>
        </w:tcPr>
        <w:p w:rsidR="00467E1A" w:rsidRDefault="00467E1A" w:rsidP="000C5050">
          <w:pPr>
            <w:pStyle w:val="a3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467E1A" w:rsidRPr="00A747E7" w:rsidRDefault="00467E1A" w:rsidP="000C5050">
          <w:pPr>
            <w:pStyle w:val="a3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467E1A" w:rsidRDefault="003B171F" w:rsidP="000C5050">
          <w:pPr>
            <w:pStyle w:val="a3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467E1A">
            <w:rPr>
              <w:rFonts w:hint="eastAsia"/>
            </w:rPr>
            <w:t>年</w:t>
          </w:r>
          <w:r w:rsidR="00467E1A">
            <w:rPr>
              <w:rFonts w:hint="eastAsia"/>
            </w:rPr>
            <w:t>12</w:t>
          </w:r>
          <w:r w:rsidR="00467E1A">
            <w:rPr>
              <w:rFonts w:hint="eastAsia"/>
            </w:rPr>
            <w:t>月</w:t>
          </w:r>
          <w:r w:rsidR="00467E1A">
            <w:rPr>
              <w:rFonts w:hint="eastAsia"/>
            </w:rPr>
            <w:t>30</w:t>
          </w:r>
          <w:r w:rsidR="00467E1A">
            <w:rPr>
              <w:rFonts w:hint="eastAsia"/>
            </w:rPr>
            <w:t>日</w:t>
          </w:r>
        </w:p>
      </w:tc>
    </w:tr>
  </w:tbl>
  <w:p w:rsidR="00467E1A" w:rsidRDefault="00467E1A" w:rsidP="00467E1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717C0"/>
    <w:multiLevelType w:val="multilevel"/>
    <w:tmpl w:val="736717C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034"/>
    <w:rsid w:val="000157C2"/>
    <w:rsid w:val="00017051"/>
    <w:rsid w:val="00026FE3"/>
    <w:rsid w:val="000425FD"/>
    <w:rsid w:val="00082E0C"/>
    <w:rsid w:val="00093195"/>
    <w:rsid w:val="000979E4"/>
    <w:rsid w:val="000C007A"/>
    <w:rsid w:val="000C34FF"/>
    <w:rsid w:val="00102B89"/>
    <w:rsid w:val="00125030"/>
    <w:rsid w:val="001251A2"/>
    <w:rsid w:val="00142D11"/>
    <w:rsid w:val="00144E99"/>
    <w:rsid w:val="001917AA"/>
    <w:rsid w:val="001A13C1"/>
    <w:rsid w:val="001C4175"/>
    <w:rsid w:val="001D376A"/>
    <w:rsid w:val="001E27A6"/>
    <w:rsid w:val="0021470D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80C32"/>
    <w:rsid w:val="003B171F"/>
    <w:rsid w:val="003F36D3"/>
    <w:rsid w:val="0041291D"/>
    <w:rsid w:val="00413FC5"/>
    <w:rsid w:val="00462495"/>
    <w:rsid w:val="00467E1A"/>
    <w:rsid w:val="004847F1"/>
    <w:rsid w:val="004D5AF0"/>
    <w:rsid w:val="004D7ECC"/>
    <w:rsid w:val="005126D1"/>
    <w:rsid w:val="00527816"/>
    <w:rsid w:val="005538EC"/>
    <w:rsid w:val="00571FB3"/>
    <w:rsid w:val="005902B7"/>
    <w:rsid w:val="00593445"/>
    <w:rsid w:val="005A057A"/>
    <w:rsid w:val="005A1BEB"/>
    <w:rsid w:val="005D7F50"/>
    <w:rsid w:val="00620254"/>
    <w:rsid w:val="0064621E"/>
    <w:rsid w:val="006652F5"/>
    <w:rsid w:val="00680E4F"/>
    <w:rsid w:val="00686FFB"/>
    <w:rsid w:val="00695C0A"/>
    <w:rsid w:val="00696345"/>
    <w:rsid w:val="006B0EFC"/>
    <w:rsid w:val="006D5E44"/>
    <w:rsid w:val="006E4A48"/>
    <w:rsid w:val="006E4F2E"/>
    <w:rsid w:val="006E67A6"/>
    <w:rsid w:val="00716A4A"/>
    <w:rsid w:val="00725037"/>
    <w:rsid w:val="0073055E"/>
    <w:rsid w:val="007533B6"/>
    <w:rsid w:val="00771AA5"/>
    <w:rsid w:val="007A59C1"/>
    <w:rsid w:val="007E4550"/>
    <w:rsid w:val="008138BB"/>
    <w:rsid w:val="00833EF7"/>
    <w:rsid w:val="00850D81"/>
    <w:rsid w:val="008614B9"/>
    <w:rsid w:val="008F4D73"/>
    <w:rsid w:val="0090047D"/>
    <w:rsid w:val="00924851"/>
    <w:rsid w:val="00965853"/>
    <w:rsid w:val="00975D3F"/>
    <w:rsid w:val="00993E4B"/>
    <w:rsid w:val="009F02E9"/>
    <w:rsid w:val="009F2EA1"/>
    <w:rsid w:val="00A44140"/>
    <w:rsid w:val="00A843B1"/>
    <w:rsid w:val="00AA0CA7"/>
    <w:rsid w:val="00AD4BD5"/>
    <w:rsid w:val="00AE3560"/>
    <w:rsid w:val="00AF622A"/>
    <w:rsid w:val="00B10BE5"/>
    <w:rsid w:val="00B31034"/>
    <w:rsid w:val="00B46A9C"/>
    <w:rsid w:val="00B925E3"/>
    <w:rsid w:val="00B946D5"/>
    <w:rsid w:val="00BA603A"/>
    <w:rsid w:val="00BE7B31"/>
    <w:rsid w:val="00BF0D3D"/>
    <w:rsid w:val="00BF5EAA"/>
    <w:rsid w:val="00BF6DA6"/>
    <w:rsid w:val="00C037BE"/>
    <w:rsid w:val="00C30A71"/>
    <w:rsid w:val="00C87066"/>
    <w:rsid w:val="00CA55AA"/>
    <w:rsid w:val="00CB0CE9"/>
    <w:rsid w:val="00CB0EF9"/>
    <w:rsid w:val="00CB275A"/>
    <w:rsid w:val="00CC4C08"/>
    <w:rsid w:val="00CE2EFA"/>
    <w:rsid w:val="00CF3304"/>
    <w:rsid w:val="00D3682E"/>
    <w:rsid w:val="00D41A2D"/>
    <w:rsid w:val="00D4579B"/>
    <w:rsid w:val="00DC0EEE"/>
    <w:rsid w:val="00DC4C4A"/>
    <w:rsid w:val="00DD5F4D"/>
    <w:rsid w:val="00E00506"/>
    <w:rsid w:val="00E04A6F"/>
    <w:rsid w:val="00E42A29"/>
    <w:rsid w:val="00E9002D"/>
    <w:rsid w:val="00F031CB"/>
    <w:rsid w:val="00F37ADC"/>
    <w:rsid w:val="00FC0D0E"/>
    <w:rsid w:val="00FC2CED"/>
    <w:rsid w:val="00FC56C6"/>
    <w:rsid w:val="00FC576F"/>
    <w:rsid w:val="00FC6C05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10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10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1034"/>
    <w:rPr>
      <w:sz w:val="18"/>
      <w:szCs w:val="18"/>
    </w:rPr>
  </w:style>
  <w:style w:type="table" w:styleId="a5">
    <w:name w:val="Table Grid"/>
    <w:basedOn w:val="a1"/>
    <w:uiPriority w:val="59"/>
    <w:rsid w:val="005902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1193</Characters>
  <Application>Microsoft Office Word</Application>
  <DocSecurity>0</DocSecurity>
  <Lines>9</Lines>
  <Paragraphs>2</Paragraphs>
  <ScaleCrop>false</ScaleCrop>
  <Company>Chinese ORG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2</cp:revision>
  <dcterms:created xsi:type="dcterms:W3CDTF">2022-03-16T12:39:00Z</dcterms:created>
  <dcterms:modified xsi:type="dcterms:W3CDTF">2022-03-16T12:39:00Z</dcterms:modified>
</cp:coreProperties>
</file>