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3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296"/>
        <w:gridCol w:w="1388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8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3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肌电诱发电位监测仪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</w:t>
      </w:r>
      <w:r>
        <w:rPr>
          <w:rStyle w:val="7"/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主要功能用途：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用于术中识别、定位和监测迷走神经、喉返神经、面神经和三叉神经等运动神经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二、技术参数要求：</w:t>
      </w:r>
      <w:r>
        <w:rPr>
          <w:rStyle w:val="7"/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1、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主机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1.1通道数量：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≥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4通道，可任意单独选择或同时选择；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 xml:space="preserve"> 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 xml:space="preserve">1.2 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頻道控制键：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采用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触摸键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控制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 xml:space="preserve">1.3 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屏幕：触摸屏，肌电图和肌电信号值显示在屏幕上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2、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软件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要求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▲2.1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 xml:space="preserve">图示化提示连接步骤：   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能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以图片形式指示系统连接步骤，明确肌肉刺激电极安放位置及患者界面盒连接顺序。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▲2.2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信号状态提示：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在进行间歇刺激时，使用</w:t>
      </w:r>
      <w:r>
        <w:rPr>
          <w:rStyle w:val="7"/>
          <w:rFonts w:hint="eastAsia" w:ascii="宋体" w:hAnsi="宋体" w:cs="宋体"/>
          <w:b w:val="0"/>
          <w:bCs w:val="0"/>
          <w:color w:val="auto"/>
          <w:kern w:val="2"/>
          <w:sz w:val="21"/>
          <w:szCs w:val="21"/>
          <w:highlight w:val="none"/>
          <w:lang w:val="en-US"/>
        </w:rPr>
        <w:t>神经趋势跟踪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功能，状态栏可以提供提醒：神经信号是完全正常、部分丢失还是完全丢失。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▲2.3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时间曲线图：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cs="宋体"/>
          <w:b w:val="0"/>
          <w:bCs w:val="0"/>
          <w:color w:val="auto"/>
          <w:kern w:val="2"/>
          <w:sz w:val="21"/>
          <w:szCs w:val="21"/>
          <w:highlight w:val="none"/>
          <w:lang w:val="en-US"/>
        </w:rPr>
        <w:t>神经趋势跟踪功能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肌电图报告能在整个手术过程中跟踪神经状况，记录用户捕捉的肌电图反应并绘制时间曲线图。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▲2.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4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 xml:space="preserve">声音提示： </w:t>
      </w:r>
    </w:p>
    <w:p>
      <w:pPr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2.4.1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 xml:space="preserve">刺激探针接触神经有清晰提示音，每次刺激会播报具体数值。 </w:t>
      </w:r>
    </w:p>
    <w:p>
      <w:pPr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2.4.2</w:t>
      </w:r>
      <w:r>
        <w:rPr>
          <w:rStyle w:val="7"/>
          <w:rFonts w:hint="eastAsia" w:ascii="宋体" w:hAnsi="宋体" w:cs="宋体"/>
          <w:b w:val="0"/>
          <w:bCs w:val="0"/>
          <w:color w:val="auto"/>
          <w:kern w:val="2"/>
          <w:sz w:val="21"/>
          <w:szCs w:val="21"/>
          <w:highlight w:val="none"/>
          <w:lang w:val="en-US"/>
        </w:rPr>
        <w:t>神经趋势跟踪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功能下，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不同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状态下的提示音不同。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2.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5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自检功能：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具备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自动检测功能，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能够检测和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标识系统连接成功与否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3、记录电极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要求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3.1采用针式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皮下记录类型：确保同一电极插入监测神经支配的相应肌肉群；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3.2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声带记录电极：神经监测气管插管表面一体声带记录电极，插管表面平滑，确保信号稳定。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4、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具备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阻抗测量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功能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4.1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具备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自动“检查电极”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功能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；测量信号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范围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：6μA 或24μA 峰- 峰，7.8 Hz 矩形脉冲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4.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2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 xml:space="preserve">测量范围： </w:t>
      </w:r>
    </w:p>
    <w:p>
      <w:pPr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4.2.1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电极：0k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-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2kΩ±0.5kΩ，2k-175kΩ±20%</w:t>
      </w:r>
    </w:p>
    <w:p>
      <w:pPr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4.2.2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接地和刺激回路 ＜25kΩ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5、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具备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伪影检测和抑制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功能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5.1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刺激伪影：刺激伪影信号和静音信号可同步抑制，可调节至静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音；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双极电烙术抑制：在双极电刀术过程中持续监测＜40W。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5.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2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 xml:space="preserve">静音夹输入灵敏度： </w:t>
      </w:r>
    </w:p>
    <w:p>
      <w:pPr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5.2.1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单极切割/ 凝结；触点：5-100W，空气放电10-100W；</w:t>
      </w:r>
    </w:p>
    <w:p>
      <w:pPr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5.2.2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静音监护仪输入灵敏度： 0.6-2.0Vrms</w:t>
      </w:r>
    </w:p>
    <w:p>
      <w:pPr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5.2.3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非静音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下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（&lt;0.3 Volts Vrms）静音夹输入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静电单位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 xml:space="preserve"> 抗扰度： &lt;100W，切割／凝结，或&lt;3.0Vrms 100-800KHz方波。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5.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3具备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电极导线关闭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功能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： 带有通道关闭静音和警告消息的自动检测。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6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显示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屏要求：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6.1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高对比度数字彩色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显示屏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；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≥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1920H×1080W 像素。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 xml:space="preserve">6.2 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触摸屏控制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6.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3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纵向显示： 20, 50, 100, 200, 500, 1,000, 2,000， 5K, 10K, 20K, 50K,和100K μV 显示模式。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6.4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 xml:space="preserve">时间尺度： 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包括但不限于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25ms、50ms、100ms 或20s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等时间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显示模式；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6.5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事件捕获：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显示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屏上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具备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启用／禁用捕获模式指示器。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7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刺激电极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7.1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刺激类型：恒定电流；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7.2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刺激频率：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包括但不限于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1Hz、2Hz、4Hz、7Hz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或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10Hz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等频率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可选择,；刺激范围：0-3 mA，采用最低±12 V 的顺应电压（4K 负载下的测试）；3.1-30mA，最低±100V 的顺应电压（2K 负载下的测试）。</w:t>
      </w:r>
    </w:p>
    <w:p>
      <w:pPr>
        <w:spacing w:line="60" w:lineRule="atLeast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7.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3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刺激控制：</w:t>
      </w:r>
    </w:p>
    <w:p>
      <w:pPr>
        <w:spacing w:line="60" w:lineRule="atLeast"/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7.3.1刺激电流范围0.01-0.15mA,调节步进0.01mA</w:t>
      </w:r>
    </w:p>
    <w:p>
      <w:pPr>
        <w:spacing w:line="60" w:lineRule="atLeast"/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7.3.2刺激电流范围0.15-0.5mA,调节步进0.05mA</w:t>
      </w:r>
    </w:p>
    <w:p>
      <w:pPr>
        <w:spacing w:line="60" w:lineRule="atLeast"/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7.3.3刺激电流范围0.5-3.0mA,调节步进0.1mA</w:t>
      </w:r>
    </w:p>
    <w:p>
      <w:pPr>
        <w:spacing w:line="60" w:lineRule="atLeast"/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7.3.4刺激电流范围3.0-5.0mA,调节步进0.5mA</w:t>
      </w:r>
    </w:p>
    <w:p>
      <w:pPr>
        <w:spacing w:line="60" w:lineRule="atLeast"/>
        <w:ind w:firstLine="206" w:firstLineChars="100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7.3.5刺激电流范围5.0-30mA,调节步进1.0mA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7.4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刺激测量精度： 在刺激范围内±0.02mA（或在1K 负载下±10% 的读数）；刺激输出精度： ±0.01 mA 或读数的10％，以较大值为准。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7.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5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持续时间：可选择，50,100,150,200,250us；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▲7.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6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刺激探头：单极或双极，单极有普通刺激探头和球形头端手柄可调节刺激探头两种可选择，可调节刺激探针手柄上可调节电流大小。</w:t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▲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8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数据输出USB接口：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≥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5个；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USB支持闪存；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配备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触摸键盘。</w:t>
      </w:r>
    </w:p>
    <w:p>
      <w:pPr>
        <w:spacing w:line="60" w:lineRule="atLeast"/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▲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9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厂家提供技术支持，在国内至少有2家及以上厂家建设并管理的固定动物实验培训基地，给院方提供系统培训。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10、耗材限价</w:t>
      </w:r>
    </w:p>
    <w:p>
      <w:pPr>
        <w:rPr>
          <w:rStyle w:val="7"/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设备配套耗材限价不高于：3</w:t>
      </w:r>
      <w:r>
        <w:rPr>
          <w:rStyle w:val="7"/>
          <w:rFonts w:hint="eastAsia" w:ascii="宋体" w:hAnsi="宋体" w:cs="宋体"/>
          <w:b w:val="0"/>
          <w:color w:val="auto"/>
          <w:sz w:val="21"/>
          <w:szCs w:val="21"/>
          <w:highlight w:val="none"/>
          <w:lang w:val="en-US"/>
        </w:rPr>
        <w:t>500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元/根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三、配置要求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：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1、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主机1台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2、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病患界面盒及连接线1套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3、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刺激探针适配线1根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>4、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静音夹及适配线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1套</w:t>
      </w:r>
      <w:r>
        <w:rPr>
          <w:rStyle w:val="7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ab/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5、神经监护气管插管1根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09D62B3E"/>
    <w:rsid w:val="09D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  <w:style w:type="character" w:customStyle="1" w:styleId="7">
    <w:name w:val="标题 1 Char Char"/>
    <w:basedOn w:val="5"/>
    <w:qFormat/>
    <w:uiPriority w:val="0"/>
    <w:rPr>
      <w:rFonts w:eastAsia="宋体"/>
      <w:b/>
      <w:spacing w:val="-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2023-10-30T08:30:00Z</dcterms:created>
  <dc:creator>yini1995</dc:creator>
  <cp:lastModifiedBy>yini1995</cp:lastModifiedBy>
  <dcterms:modified xsi:type="dcterms:W3CDTF">2023-10-30T08:30:41Z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9AD290FDC46B45B494409A2D1077F339_11</vt:lpwstr>
  </property>
</Properties>
</file>