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 xml:space="preserve"> 项目需求书</w:t>
      </w:r>
    </w:p>
    <w:p>
      <w:pPr>
        <w:pStyle w:val="3"/>
        <w:numPr>
          <w:ilvl w:val="0"/>
          <w:numId w:val="0"/>
        </w:numPr>
        <w:spacing w:before="240" w:after="0" w:line="360" w:lineRule="auto"/>
        <w:ind w:left="0" w:leftChars="0" w:firstLine="567"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4"/>
        <w:tblW w:w="47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605"/>
        <w:gridCol w:w="1516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1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4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C13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呼气试验测试仪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拒绝进口</w:t>
            </w:r>
          </w:p>
        </w:tc>
      </w:tr>
      <w:bookmarkEnd w:id="0"/>
    </w:tbl>
    <w:p>
      <w:pPr>
        <w:pStyle w:val="3"/>
        <w:numPr>
          <w:ilvl w:val="0"/>
          <w:numId w:val="0"/>
        </w:numPr>
        <w:spacing w:before="240" w:after="0" w:line="360" w:lineRule="auto"/>
        <w:ind w:left="0" w:leftChars="0" w:firstLine="567"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体积：长×宽×高=5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30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 xml:space="preserve"> mm×40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 xml:space="preserve"> mm×3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0 mm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（±10%）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2、设备可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自动检测仪器使用状态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3、设备要求用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软件控制，通过用户电脑上的软件和专用人机界面进行操控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4、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▲一次可插入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≥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 xml:space="preserve">6组样本，自动批量检测，批量打印检测报告 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▲重复性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要求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：平均值≤±0.3（条件：测量一组含3%CO2、DOB(‰)=0的标准气体样本10次）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6、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▲精确性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要求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：标准误差≤0.3（条件：测量一组含有3%CO2、DOB(‰)=2的标准气体样本10次）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7、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样本CO2浓度范围：1.0～6.0%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8、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所需样本体积：≥120mL/袋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9、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样本测量时间：测量一个病人的样本（包含底气样本和样气样本各一袋）的时间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≤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3分钟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10、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预热时间：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≤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15分钟</w:t>
      </w:r>
    </w:p>
    <w:p>
      <w:pPr>
        <w:numPr>
          <w:ilvl w:val="0"/>
          <w:numId w:val="0"/>
        </w:numPr>
        <w:snapToGrid w:val="0"/>
        <w:spacing w:line="276" w:lineRule="auto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11、配备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窄带带通干涉滤光组件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蓝宝石窗片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光学透镜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等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光学系统：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12、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▲红外光源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需为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带镀金反射镜的稳态黑体辐射源，工作温度950℃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13、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样品池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材质为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铝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14、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▲探测器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材料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：PbSe红外光敏探测元件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15、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信号切变：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采用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斩光片断路器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16、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信号采集：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具备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带通滤波器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模数转换器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和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快速傅里叶变换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功能的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软件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17、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温控系统：采用电热元件、帕尔特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效应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制冷元件的PID控制方式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18、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进样系统：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采用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微型电磁气阀和精密步进电机控制的气缸式进样系统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19、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▲要求提供设备配套使用的尿素13C呼气试验药盒所提供的采样系统有完好的呼气结束瞬间密闭装置（其中的呼气样品袋须内置自动单向阀），以保证呼出气样品合格的密闭性，不有丝毫泄露。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/>
          <w:color w:val="auto"/>
          <w:sz w:val="24"/>
          <w:highlight w:val="none"/>
          <w:lang w:val="en-US" w:eastAsia="zh-Han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▲能够配套使用75mg尿素13C试剂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21、</w:t>
      </w:r>
      <w:r>
        <w:rPr>
          <w:rFonts w:hint="default" w:ascii="宋体" w:hAnsi="宋体"/>
          <w:color w:val="auto"/>
          <w:sz w:val="24"/>
          <w:highlight w:val="none"/>
          <w:lang w:val="en-US" w:eastAsia="zh-Hans"/>
        </w:rPr>
        <w:t>▲支持条码扫描，支持连接医院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现有东华系统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22、试验药盒不得高于80元/人份</w:t>
      </w:r>
    </w:p>
    <w:p>
      <w:pPr>
        <w:numPr>
          <w:ilvl w:val="0"/>
          <w:numId w:val="0"/>
        </w:numPr>
        <w:snapToGrid w:val="0"/>
        <w:spacing w:line="276" w:lineRule="auto"/>
        <w:ind w:left="480" w:leftChars="0" w:hanging="480" w:hanging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23、配置清单：主机两套</w:t>
      </w:r>
    </w:p>
    <w:p>
      <w:pPr>
        <w:numPr>
          <w:ilvl w:val="0"/>
          <w:numId w:val="0"/>
        </w:numPr>
        <w:snapToGrid w:val="0"/>
        <w:spacing w:line="276" w:lineRule="auto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WVmOGM3NTVhMjQwNmY2MTM4Y2QzMTcyZjM4ODEifQ=="/>
  </w:docVars>
  <w:rsids>
    <w:rsidRoot w:val="3606506A"/>
    <w:rsid w:val="3606506A"/>
    <w:rsid w:val="3903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2023-10-30T08:34:00Z</dcterms:created>
  <dc:creator>yini1995</dc:creator>
  <cp:lastModifiedBy>yini1995</cp:lastModifiedBy>
  <dcterms:modified xsi:type="dcterms:W3CDTF">2023-10-30T08:35:23Z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FF9C197F03B24E19911F59CBE3B85E86_11</vt:lpwstr>
  </property>
</Properties>
</file>